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F4" w:rsidRPr="00FB56FB" w:rsidRDefault="00D165F4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VISTA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la Legge 23 agosto</w:t>
      </w:r>
      <w:r w:rsidR="00482DD5" w:rsidRPr="00FB56FB">
        <w:rPr>
          <w:rFonts w:ascii="Garamond" w:hAnsi="Garamond"/>
          <w:color w:val="000000" w:themeColor="text1"/>
          <w:sz w:val="24"/>
          <w:szCs w:val="24"/>
        </w:rPr>
        <w:t xml:space="preserve"> 1988</w:t>
      </w:r>
      <w:r w:rsidRPr="00FB56FB">
        <w:rPr>
          <w:rFonts w:ascii="Garamond" w:hAnsi="Garamond"/>
          <w:color w:val="000000" w:themeColor="text1"/>
          <w:sz w:val="24"/>
          <w:szCs w:val="24"/>
        </w:rPr>
        <w:t>, n. 400, recante «Disciplina dell’attività di governo e coordinamento della Presidenza del Consiglio dei Ministri» e successive modificazioni;</w:t>
      </w:r>
    </w:p>
    <w:p w:rsidR="00DC3F27" w:rsidRPr="00FB56FB" w:rsidRDefault="00DC3F27" w:rsidP="00805392">
      <w:pPr>
        <w:spacing w:after="0" w:line="240" w:lineRule="auto"/>
        <w:contextualSpacing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D165F4" w:rsidRPr="00FB56FB" w:rsidRDefault="00D165F4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VISTO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il Decreto legislativo 30 luglio 1999, n. 303, recante «Ordinamento della Presidenza del Consiglio dei Ministri, a norma dell’articolo 11 della Legge 15 marzo 1997, n. 59» e successive modificazioni e integrazioni;</w:t>
      </w:r>
    </w:p>
    <w:p w:rsidR="00DC3F27" w:rsidRPr="00FB56FB" w:rsidRDefault="00DC3F27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057D9" w:rsidRPr="00FB56FB" w:rsidRDefault="005057D9" w:rsidP="0095658C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VISTO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il decreto del Presidente della Repubblica 1 giugno 2018, concernente la nomina dell’On.</w:t>
      </w:r>
      <w:r w:rsidR="00B77933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Dott. Giancarlo Giorgetti a Sottosegretario di Stato alla Presidenza del Consiglio dei Ministri, con le funzioni di Segretario del Consiglio dei Ministri; </w:t>
      </w:r>
    </w:p>
    <w:p w:rsidR="005E6D41" w:rsidRPr="00FB56FB" w:rsidRDefault="005E6D41" w:rsidP="0095658C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E6D41" w:rsidRPr="00FB56FB" w:rsidRDefault="005057D9" w:rsidP="005E6D41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VISTO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il decreto del Presidente del Consiglio dei Ministri 27 giugno 2018, con il quale al Sottosegretario di Stato alla Presidenza del Consiglio dei Ministri, On.</w:t>
      </w:r>
      <w:r w:rsidR="00B77933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Dott. Giancarlo Giorgetti, sono </w:t>
      </w:r>
      <w:r w:rsidR="00B77933" w:rsidRPr="00FB56FB">
        <w:rPr>
          <w:rFonts w:ascii="Garamond" w:hAnsi="Garamond"/>
          <w:color w:val="000000" w:themeColor="text1"/>
          <w:sz w:val="24"/>
          <w:szCs w:val="24"/>
        </w:rPr>
        <w:t xml:space="preserve">state </w:t>
      </w:r>
      <w:r w:rsidRPr="00FB56FB">
        <w:rPr>
          <w:rFonts w:ascii="Garamond" w:hAnsi="Garamond"/>
          <w:color w:val="000000" w:themeColor="text1"/>
          <w:sz w:val="24"/>
          <w:szCs w:val="24"/>
        </w:rPr>
        <w:t>delegate, tra l’altro, le funzioni in materia di sport</w:t>
      </w:r>
      <w:r w:rsidR="00B77933" w:rsidRPr="00FB56FB">
        <w:rPr>
          <w:rFonts w:ascii="Garamond" w:hAnsi="Garamond"/>
          <w:color w:val="000000" w:themeColor="text1"/>
          <w:sz w:val="24"/>
          <w:szCs w:val="24"/>
        </w:rPr>
        <w:t>;</w:t>
      </w:r>
    </w:p>
    <w:p w:rsidR="00592C59" w:rsidRPr="00FB56FB" w:rsidRDefault="00592C59" w:rsidP="005E6D41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165F4" w:rsidRPr="00FB56FB" w:rsidRDefault="00D165F4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VISTA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la Legge 27 dicembre</w:t>
      </w:r>
      <w:r w:rsidR="004C1937" w:rsidRPr="00FB56FB">
        <w:rPr>
          <w:rFonts w:ascii="Garamond" w:hAnsi="Garamond"/>
          <w:color w:val="000000" w:themeColor="text1"/>
          <w:sz w:val="24"/>
          <w:szCs w:val="24"/>
        </w:rPr>
        <w:t xml:space="preserve"> 2017</w:t>
      </w:r>
      <w:r w:rsidRPr="00FB56FB">
        <w:rPr>
          <w:rFonts w:ascii="Garamond" w:hAnsi="Garamond"/>
          <w:color w:val="000000" w:themeColor="text1"/>
          <w:sz w:val="24"/>
          <w:szCs w:val="24"/>
        </w:rPr>
        <w:t>, n. 205, recante «Bilancio di previsione dello Stato per l'anno finanziario 2018 e bilancio pluriennale per il triennio 2018-2020»;</w:t>
      </w:r>
    </w:p>
    <w:p w:rsidR="00DC3F27" w:rsidRPr="00FB56FB" w:rsidRDefault="00DC3F27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165F4" w:rsidRPr="00FB56FB" w:rsidRDefault="00D165F4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VISTO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in particolare l’articolo 1, comma 362, della predetta Legge 27 dicembre</w:t>
      </w:r>
      <w:r w:rsidR="004C1937" w:rsidRPr="00FB56FB">
        <w:rPr>
          <w:rFonts w:ascii="Garamond" w:hAnsi="Garamond"/>
          <w:color w:val="000000" w:themeColor="text1"/>
          <w:sz w:val="24"/>
          <w:szCs w:val="24"/>
        </w:rPr>
        <w:t xml:space="preserve"> 2017</w:t>
      </w:r>
      <w:r w:rsidRPr="00FB56FB">
        <w:rPr>
          <w:rFonts w:ascii="Garamond" w:hAnsi="Garamond"/>
          <w:color w:val="000000" w:themeColor="text1"/>
          <w:sz w:val="24"/>
          <w:szCs w:val="24"/>
        </w:rPr>
        <w:t>, n. 205, che al fine di attribuire natura strutturale al Fondo «Sport e Periferie» di cui all'articolo 15, comma 1, del decreto-legge 25 novembre 2015, n. 185, convertito, con modificazioni, dalla legge 22 gennaio 2016, n. 9, autorizza la spesa di 10 milioni di euro annui a decorrere dall'anno 2018, assegna</w:t>
      </w:r>
      <w:r w:rsidR="001D0428" w:rsidRPr="00FB56FB">
        <w:rPr>
          <w:rFonts w:ascii="Garamond" w:hAnsi="Garamond"/>
          <w:color w:val="000000" w:themeColor="text1"/>
          <w:sz w:val="24"/>
          <w:szCs w:val="24"/>
        </w:rPr>
        <w:t>ndo tali risorse all’</w:t>
      </w:r>
      <w:r w:rsidRPr="00FB56FB">
        <w:rPr>
          <w:rFonts w:ascii="Garamond" w:hAnsi="Garamond"/>
          <w:color w:val="000000" w:themeColor="text1"/>
          <w:sz w:val="24"/>
          <w:szCs w:val="24"/>
        </w:rPr>
        <w:t>Ufficio per lo sport presso la Presidenza del Consiglio dei ministri</w:t>
      </w:r>
      <w:r w:rsidR="001D0428" w:rsidRPr="00FB56FB">
        <w:rPr>
          <w:rFonts w:ascii="Garamond" w:hAnsi="Garamond"/>
          <w:color w:val="000000" w:themeColor="text1"/>
          <w:sz w:val="24"/>
          <w:szCs w:val="24"/>
        </w:rPr>
        <w:t>;</w:t>
      </w:r>
    </w:p>
    <w:p w:rsidR="00DC3F27" w:rsidRPr="00FB56FB" w:rsidRDefault="00DC3F27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D0428" w:rsidRPr="00FB56FB" w:rsidRDefault="001D0428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VISTO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di nuovo l’articolo 1, comma 362, della predetta Legge 27 dicembre</w:t>
      </w:r>
      <w:r w:rsidR="004C1937" w:rsidRPr="00FB56FB">
        <w:rPr>
          <w:rFonts w:ascii="Garamond" w:hAnsi="Garamond"/>
          <w:color w:val="000000" w:themeColor="text1"/>
          <w:sz w:val="24"/>
          <w:szCs w:val="24"/>
        </w:rPr>
        <w:t xml:space="preserve"> 2017</w:t>
      </w:r>
      <w:r w:rsidRPr="00FB56FB">
        <w:rPr>
          <w:rFonts w:ascii="Garamond" w:hAnsi="Garamond"/>
          <w:color w:val="000000" w:themeColor="text1"/>
          <w:sz w:val="24"/>
          <w:szCs w:val="24"/>
        </w:rPr>
        <w:t>, n. 205, che rimette a un decreto del Presidente del Consiglio dei ministri, da adottare in concerto con il Ministro dell'economia e delle finanze entro centoventi giorni dalla data di entrata in vigore della disposizione, il compito di individuare i criteri e le modalità di gestione delle risorse assegnate all'Ufficio per lo sport, nel rispetto delle finalità individuate dall'articolo 15, comma 2, lettere a), b) e c), del decreto-legge 25 novembre 2015, n. 185, convertito, con modificazioni, dalla legge 22 gennaio 2016, n. 9, facendo salve le procedure in corso;</w:t>
      </w:r>
    </w:p>
    <w:p w:rsidR="00DC3F27" w:rsidRPr="00FB56FB" w:rsidRDefault="00DC3F27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D0428" w:rsidRPr="00FB56FB" w:rsidRDefault="001D0428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VISTO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l'articolo 15, comma 2, lettere a), b) e c), del menzionato decreto-legge 25 novembre 2015, n. 185, convertito, con modificazioni, dalla legge 22 gennaio 2016, n. 9,</w:t>
      </w:r>
      <w:r w:rsidR="00F56D60" w:rsidRPr="00FB56FB">
        <w:rPr>
          <w:rFonts w:ascii="Garamond" w:hAnsi="Garamond"/>
          <w:color w:val="000000" w:themeColor="text1"/>
          <w:sz w:val="24"/>
          <w:szCs w:val="24"/>
        </w:rPr>
        <w:t xml:space="preserve"> che finalizza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il fondo di cui al comma 1 ai seguenti interventi: a) ricognizione degli impianti sportivi esistenti sul territorio nazionale; b) realizzazione e rigenerazione di impianti sportivi con destinazione all'attività agonistica nazionale, localizzati nelle aree svantaggiate del Paese e nelle periferie urbane e diffusione di attrezzature sportive nelle stesse aree con l'obiettivo di rimuovere gli squilibri economici e sociali ivi esistenti; c) completamento e adeguamento di impianti sportivi esistenti, con destinazione all'attività agonistica nazionale e internazionale;</w:t>
      </w:r>
    </w:p>
    <w:p w:rsidR="00BC69FB" w:rsidRPr="00FB56FB" w:rsidRDefault="00BC69FB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C69FB" w:rsidRDefault="005D6403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 xml:space="preserve">VISTA 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la delibera n. 26 del 28 febbraio 2018 del Comitato Interministeriale per la Programmazione Economica, la quale prevede l’assegnazione, a valere sul FSC 2014-2020, di 250 milioni di euro in favore del “Piano operativo Sport e Periferie”; </w:t>
      </w:r>
    </w:p>
    <w:p w:rsidR="00293842" w:rsidRDefault="00293842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93842" w:rsidRPr="00FB56FB" w:rsidRDefault="00293842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66967" w:rsidRPr="00293842" w:rsidRDefault="00293842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93842">
        <w:rPr>
          <w:rFonts w:ascii="Garamond" w:hAnsi="Garamond"/>
          <w:b/>
          <w:color w:val="000000" w:themeColor="text1"/>
          <w:sz w:val="24"/>
          <w:szCs w:val="24"/>
        </w:rPr>
        <w:lastRenderedPageBreak/>
        <w:t>VISTO</w:t>
      </w:r>
      <w:r w:rsidRPr="00293842">
        <w:rPr>
          <w:rFonts w:ascii="Garamond" w:hAnsi="Garamond"/>
          <w:color w:val="000000" w:themeColor="text1"/>
          <w:sz w:val="24"/>
          <w:szCs w:val="24"/>
        </w:rPr>
        <w:t xml:space="preserve"> il decreto del Presidente del Consiglio dei Ministri 6 giugno 2018, con il quale al Sottosegretario di Stato alla Presidenza del Consiglio dei Ministri onorevole dott. Giancarlo Giorgetti è stata delegata la firma dei decreti, degli atti e dei provvedimenti di competenza del Presidente del Consiglio dei Ministri, ad esclusione di quelli che richiedono una preventiva deliberazione del Consiglio dei Ministri e di quelli relativi alle attribuzioni di cui all’articolo 5 della legge 23 agosto 1988, n. 400;</w:t>
      </w:r>
    </w:p>
    <w:p w:rsidR="00293842" w:rsidRPr="00293842" w:rsidRDefault="00293842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66967" w:rsidRPr="00FB56FB" w:rsidRDefault="00866967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DI CONCERTO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con il Ministro dell'economia e delle finanze;</w:t>
      </w:r>
    </w:p>
    <w:p w:rsidR="00544CE0" w:rsidRPr="00FB56FB" w:rsidRDefault="00544CE0" w:rsidP="00805392">
      <w:pPr>
        <w:spacing w:after="0" w:line="240" w:lineRule="auto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D165F4" w:rsidRPr="00FB56FB" w:rsidRDefault="00D165F4" w:rsidP="00805392">
      <w:pPr>
        <w:spacing w:after="0" w:line="240" w:lineRule="auto"/>
        <w:contextualSpacing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DECRETA</w:t>
      </w:r>
    </w:p>
    <w:p w:rsidR="00544CE0" w:rsidRPr="00FB56FB" w:rsidRDefault="00544CE0" w:rsidP="00805392">
      <w:pPr>
        <w:spacing w:after="0" w:line="240" w:lineRule="auto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D165F4" w:rsidRPr="00FB56FB" w:rsidRDefault="00D165F4" w:rsidP="00805392">
      <w:pPr>
        <w:spacing w:after="0" w:line="240" w:lineRule="auto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(Art. 1)</w:t>
      </w:r>
    </w:p>
    <w:p w:rsidR="006C5592" w:rsidRPr="00FB56FB" w:rsidRDefault="006C5592" w:rsidP="00805392">
      <w:pPr>
        <w:spacing w:after="0" w:line="240" w:lineRule="auto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Fondo Sport e Periferie</w:t>
      </w:r>
    </w:p>
    <w:p w:rsidR="006C5592" w:rsidRPr="00FB56FB" w:rsidRDefault="006C5592" w:rsidP="00805392">
      <w:pPr>
        <w:spacing w:after="0" w:line="240" w:lineRule="auto"/>
        <w:contextualSpacing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502EEB" w:rsidRPr="00FB56FB" w:rsidRDefault="00293842" w:rsidP="00805392">
      <w:pPr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 </w:t>
      </w:r>
      <w:r w:rsidR="00B0714C" w:rsidRPr="00FB56FB">
        <w:rPr>
          <w:rFonts w:ascii="Garamond" w:hAnsi="Garamond"/>
          <w:color w:val="000000" w:themeColor="text1"/>
          <w:sz w:val="24"/>
          <w:szCs w:val="24"/>
        </w:rPr>
        <w:t>Le risorse</w:t>
      </w:r>
      <w:r w:rsidR="006E218A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0714C" w:rsidRPr="00FB56FB">
        <w:rPr>
          <w:rFonts w:ascii="Garamond" w:hAnsi="Garamond"/>
          <w:color w:val="000000" w:themeColor="text1"/>
          <w:sz w:val="24"/>
          <w:szCs w:val="24"/>
        </w:rPr>
        <w:t>destinate dal 1 gennaio 2018 al fondo di cui all'articolo 15, comma 1, del decreto-legge 25 novembre 2015, n. 185, convertito, con modificazioni, dalla legge 22 gennaio 2016, n. 9, iscritte</w:t>
      </w:r>
      <w:r w:rsidR="006E218A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0714C" w:rsidRPr="00FB56FB">
        <w:rPr>
          <w:rFonts w:ascii="Garamond" w:hAnsi="Garamond"/>
          <w:color w:val="000000" w:themeColor="text1"/>
          <w:sz w:val="24"/>
          <w:szCs w:val="24"/>
        </w:rPr>
        <w:t>in</w:t>
      </w:r>
      <w:r w:rsidR="006E218A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E59F4" w:rsidRPr="00FB56FB">
        <w:rPr>
          <w:rFonts w:ascii="Garamond" w:hAnsi="Garamond"/>
          <w:sz w:val="24"/>
          <w:szCs w:val="24"/>
        </w:rPr>
        <w:t xml:space="preserve">apposito capitolo </w:t>
      </w:r>
      <w:r w:rsidR="006E218A" w:rsidRPr="00FB56FB">
        <w:rPr>
          <w:rFonts w:ascii="Garamond" w:hAnsi="Garamond"/>
          <w:color w:val="000000" w:themeColor="text1"/>
          <w:sz w:val="24"/>
          <w:szCs w:val="24"/>
        </w:rPr>
        <w:t>dello stato di previsione del Ministero dell’Economia e delle Finanze e da trasferire al bilancio autonomo della Presidenza del C</w:t>
      </w:r>
      <w:r w:rsidR="00B0714C" w:rsidRPr="00FB56FB">
        <w:rPr>
          <w:rFonts w:ascii="Garamond" w:hAnsi="Garamond"/>
          <w:color w:val="000000" w:themeColor="text1"/>
          <w:sz w:val="24"/>
          <w:szCs w:val="24"/>
        </w:rPr>
        <w:t>onsiglio dei Ministri</w:t>
      </w:r>
      <w:r w:rsidR="00FB56FB" w:rsidRPr="00FB56FB">
        <w:rPr>
          <w:rFonts w:ascii="Garamond" w:hAnsi="Garamond"/>
          <w:color w:val="000000" w:themeColor="text1"/>
          <w:sz w:val="24"/>
          <w:szCs w:val="24"/>
        </w:rPr>
        <w:t>,</w:t>
      </w:r>
      <w:r w:rsidR="00B0714C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E59F4" w:rsidRPr="00FB56FB">
        <w:rPr>
          <w:rFonts w:ascii="Garamond" w:hAnsi="Garamond"/>
          <w:sz w:val="24"/>
          <w:szCs w:val="24"/>
        </w:rPr>
        <w:t>in apposita sezi</w:t>
      </w:r>
      <w:r w:rsidR="00482DD5" w:rsidRPr="00FB56FB">
        <w:rPr>
          <w:rFonts w:ascii="Garamond" w:hAnsi="Garamond"/>
          <w:sz w:val="24"/>
          <w:szCs w:val="24"/>
        </w:rPr>
        <w:t>one del Fondo Sport e Periferie</w:t>
      </w:r>
      <w:r w:rsidR="00FB56FB" w:rsidRPr="00FB56FB">
        <w:rPr>
          <w:rFonts w:ascii="Garamond" w:hAnsi="Garamond"/>
          <w:sz w:val="24"/>
          <w:szCs w:val="24"/>
        </w:rPr>
        <w:t>,</w:t>
      </w:r>
      <w:r w:rsidR="00482DD5" w:rsidRPr="00FB56FB">
        <w:rPr>
          <w:rFonts w:ascii="Garamond" w:hAnsi="Garamond"/>
          <w:sz w:val="24"/>
          <w:szCs w:val="24"/>
        </w:rPr>
        <w:t xml:space="preserve"> </w:t>
      </w:r>
      <w:r w:rsidR="00544CE0" w:rsidRPr="00FB56FB">
        <w:rPr>
          <w:rFonts w:ascii="Garamond" w:hAnsi="Garamond"/>
          <w:color w:val="000000" w:themeColor="text1"/>
          <w:sz w:val="24"/>
          <w:szCs w:val="24"/>
        </w:rPr>
        <w:t>da assegnare</w:t>
      </w:r>
      <w:r w:rsidR="006E218A" w:rsidRPr="00FB56FB">
        <w:rPr>
          <w:rFonts w:ascii="Garamond" w:hAnsi="Garamond"/>
          <w:color w:val="000000" w:themeColor="text1"/>
          <w:sz w:val="24"/>
          <w:szCs w:val="24"/>
        </w:rPr>
        <w:t xml:space="preserve"> all’Ufficio per lo Sport presso la Presid</w:t>
      </w:r>
      <w:r w:rsidR="00B0714C" w:rsidRPr="00FB56FB">
        <w:rPr>
          <w:rFonts w:ascii="Garamond" w:hAnsi="Garamond"/>
          <w:color w:val="000000" w:themeColor="text1"/>
          <w:sz w:val="24"/>
          <w:szCs w:val="24"/>
        </w:rPr>
        <w:t>enza del Consiglio dei Ministri,</w:t>
      </w:r>
      <w:r w:rsidR="006E218A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0714C" w:rsidRPr="00FB56FB">
        <w:rPr>
          <w:rFonts w:ascii="Garamond" w:hAnsi="Garamond"/>
          <w:color w:val="000000" w:themeColor="text1"/>
          <w:sz w:val="24"/>
          <w:szCs w:val="24"/>
        </w:rPr>
        <w:t>sono finalizzate</w:t>
      </w:r>
      <w:r w:rsidR="006E218A" w:rsidRPr="00FB56FB">
        <w:rPr>
          <w:rFonts w:ascii="Garamond" w:hAnsi="Garamond"/>
          <w:color w:val="000000" w:themeColor="text1"/>
          <w:sz w:val="24"/>
          <w:szCs w:val="24"/>
        </w:rPr>
        <w:t xml:space="preserve"> ai seguenti interventi</w:t>
      </w:r>
      <w:r w:rsidR="00502EEB" w:rsidRPr="00FB56FB">
        <w:rPr>
          <w:rFonts w:ascii="Garamond" w:hAnsi="Garamond"/>
          <w:color w:val="000000" w:themeColor="text1"/>
          <w:sz w:val="24"/>
          <w:szCs w:val="24"/>
        </w:rPr>
        <w:t xml:space="preserve">: </w:t>
      </w:r>
    </w:p>
    <w:p w:rsidR="00FF1F03" w:rsidRPr="00FB56FB" w:rsidRDefault="00502EEB" w:rsidP="0080539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ricognizione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di impianti sportivi esisten</w:t>
      </w:r>
      <w:r w:rsidR="00FF1F03" w:rsidRPr="00FB56FB">
        <w:rPr>
          <w:rFonts w:ascii="Garamond" w:hAnsi="Garamond"/>
          <w:color w:val="000000" w:themeColor="text1"/>
          <w:sz w:val="24"/>
          <w:szCs w:val="24"/>
        </w:rPr>
        <w:t xml:space="preserve">ti su tutto il territorio nazionale; </w:t>
      </w:r>
    </w:p>
    <w:p w:rsidR="00FF1F03" w:rsidRPr="00FB56FB" w:rsidRDefault="00502EEB" w:rsidP="0080539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realizzazione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e rigenerazione di impianti sportiv</w:t>
      </w:r>
      <w:r w:rsidR="00FF1F03" w:rsidRPr="00FB56FB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460A8E" w:rsidRPr="00FB56FB">
        <w:rPr>
          <w:rFonts w:ascii="Garamond" w:hAnsi="Garamond"/>
          <w:color w:val="000000" w:themeColor="text1"/>
          <w:sz w:val="24"/>
          <w:szCs w:val="24"/>
        </w:rPr>
        <w:t>finalizzati</w:t>
      </w:r>
      <w:r w:rsidR="00FF1F03" w:rsidRPr="00FB56FB">
        <w:rPr>
          <w:rFonts w:ascii="Garamond" w:hAnsi="Garamond"/>
          <w:color w:val="000000" w:themeColor="text1"/>
          <w:sz w:val="24"/>
          <w:szCs w:val="24"/>
        </w:rPr>
        <w:t xml:space="preserve"> all’attività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agonistica, localizzati nelle aree svantaggiate del Paese e n</w:t>
      </w:r>
      <w:r w:rsidR="00FF1F03" w:rsidRPr="00FB56FB">
        <w:rPr>
          <w:rFonts w:ascii="Garamond" w:hAnsi="Garamond"/>
          <w:color w:val="000000" w:themeColor="text1"/>
          <w:sz w:val="24"/>
          <w:szCs w:val="24"/>
        </w:rPr>
        <w:t>elle periferie urbane;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FF1F03" w:rsidRPr="00FB56FB" w:rsidRDefault="00502EEB" w:rsidP="0080539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diffusione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di attrezzature sportive</w:t>
      </w:r>
      <w:r w:rsidR="00FF1F03" w:rsidRPr="00FB56FB">
        <w:rPr>
          <w:rFonts w:ascii="Garamond" w:hAnsi="Garamond"/>
          <w:color w:val="000000" w:themeColor="text1"/>
          <w:sz w:val="24"/>
          <w:szCs w:val="24"/>
        </w:rPr>
        <w:t xml:space="preserve"> con l’</w:t>
      </w:r>
      <w:r w:rsidRPr="00FB56FB">
        <w:rPr>
          <w:rFonts w:ascii="Garamond" w:hAnsi="Garamond"/>
          <w:color w:val="000000" w:themeColor="text1"/>
          <w:sz w:val="24"/>
          <w:szCs w:val="24"/>
        </w:rPr>
        <w:t>obiettivo di rimuovere gli squilibri econom</w:t>
      </w:r>
      <w:r w:rsidR="00FF1F03" w:rsidRPr="00FB56FB">
        <w:rPr>
          <w:rFonts w:ascii="Garamond" w:hAnsi="Garamond"/>
          <w:color w:val="000000" w:themeColor="text1"/>
          <w:sz w:val="24"/>
          <w:szCs w:val="24"/>
        </w:rPr>
        <w:t xml:space="preserve">ici e sociali esistenti; </w:t>
      </w:r>
    </w:p>
    <w:p w:rsidR="00FF1F03" w:rsidRPr="00FB56FB" w:rsidRDefault="00502EEB" w:rsidP="0080539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completamento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e adeguamento di impianti sportivi </w:t>
      </w:r>
      <w:r w:rsidR="00FF1F03" w:rsidRPr="00FB56FB">
        <w:rPr>
          <w:rFonts w:ascii="Garamond" w:hAnsi="Garamond"/>
          <w:color w:val="000000" w:themeColor="text1"/>
          <w:sz w:val="24"/>
          <w:szCs w:val="24"/>
        </w:rPr>
        <w:t>esistenti da destinare all’attività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agonistica nazionale e internazionale</w:t>
      </w:r>
      <w:r w:rsidR="00FF1F03" w:rsidRPr="00FB56FB">
        <w:rPr>
          <w:rFonts w:ascii="Garamond" w:hAnsi="Garamond"/>
          <w:color w:val="000000" w:themeColor="text1"/>
          <w:sz w:val="24"/>
          <w:szCs w:val="24"/>
        </w:rPr>
        <w:t>.</w:t>
      </w:r>
    </w:p>
    <w:p w:rsidR="00485615" w:rsidRPr="00FB56FB" w:rsidRDefault="00485615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57DBA" w:rsidRPr="00FB56FB" w:rsidRDefault="006E218A" w:rsidP="00857DBA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(Art. 2</w:t>
      </w:r>
      <w:r w:rsidR="00857DBA" w:rsidRPr="00FB56FB">
        <w:rPr>
          <w:rFonts w:ascii="Garamond" w:hAnsi="Garamond"/>
          <w:b/>
          <w:color w:val="000000" w:themeColor="text1"/>
          <w:sz w:val="24"/>
          <w:szCs w:val="24"/>
        </w:rPr>
        <w:t>)</w:t>
      </w:r>
    </w:p>
    <w:p w:rsidR="00857DBA" w:rsidRPr="00FB56FB" w:rsidRDefault="00BA3343" w:rsidP="00857DBA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Procedura di selezione</w:t>
      </w:r>
    </w:p>
    <w:p w:rsidR="00857DBA" w:rsidRPr="00FB56FB" w:rsidRDefault="00857DBA" w:rsidP="00857DBA">
      <w:pPr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971894" w:rsidRPr="00FB56FB" w:rsidRDefault="00293842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 </w:t>
      </w:r>
      <w:r w:rsidR="00971894" w:rsidRPr="00FB56FB">
        <w:rPr>
          <w:rFonts w:ascii="Garamond" w:hAnsi="Garamond"/>
          <w:color w:val="000000" w:themeColor="text1"/>
          <w:sz w:val="24"/>
          <w:szCs w:val="24"/>
        </w:rPr>
        <w:t xml:space="preserve">Al fine di selezionare le richieste di intervento da finanziare, </w:t>
      </w:r>
      <w:r w:rsidR="008B5420" w:rsidRPr="00FB56FB">
        <w:rPr>
          <w:rFonts w:ascii="Garamond" w:hAnsi="Garamond"/>
          <w:color w:val="000000" w:themeColor="text1"/>
          <w:sz w:val="24"/>
          <w:szCs w:val="24"/>
        </w:rPr>
        <w:t xml:space="preserve">entro il </w:t>
      </w:r>
      <w:r w:rsidR="00ED6C8C" w:rsidRPr="00FB56FB">
        <w:rPr>
          <w:rFonts w:ascii="Garamond" w:hAnsi="Garamond"/>
          <w:color w:val="000000" w:themeColor="text1"/>
          <w:sz w:val="24"/>
          <w:szCs w:val="24"/>
        </w:rPr>
        <w:t>15 novembre</w:t>
      </w:r>
      <w:r w:rsidR="008B5420" w:rsidRPr="00FB56FB">
        <w:rPr>
          <w:rFonts w:ascii="Garamond" w:hAnsi="Garamond"/>
          <w:color w:val="000000" w:themeColor="text1"/>
          <w:sz w:val="24"/>
          <w:szCs w:val="24"/>
        </w:rPr>
        <w:t xml:space="preserve"> di ogni anno</w:t>
      </w:r>
      <w:r w:rsidR="00FB56FB" w:rsidRPr="00FB56FB">
        <w:rPr>
          <w:rFonts w:ascii="Garamond" w:hAnsi="Garamond"/>
          <w:color w:val="000000" w:themeColor="text1"/>
          <w:sz w:val="24"/>
          <w:szCs w:val="24"/>
        </w:rPr>
        <w:t>,</w:t>
      </w:r>
      <w:r w:rsidR="008B5420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71894" w:rsidRPr="00FB56FB">
        <w:rPr>
          <w:rFonts w:ascii="Garamond" w:hAnsi="Garamond"/>
          <w:color w:val="000000" w:themeColor="text1"/>
          <w:sz w:val="24"/>
          <w:szCs w:val="24"/>
        </w:rPr>
        <w:t xml:space="preserve">l’Ufficio per lo Sport pubblica </w:t>
      </w:r>
      <w:r w:rsidR="008B5420" w:rsidRPr="00FB56FB">
        <w:rPr>
          <w:rFonts w:ascii="Garamond" w:hAnsi="Garamond"/>
          <w:color w:val="000000" w:themeColor="text1"/>
          <w:sz w:val="24"/>
          <w:szCs w:val="24"/>
        </w:rPr>
        <w:t xml:space="preserve">sul proprio sito </w:t>
      </w:r>
      <w:r w:rsidR="008B5420" w:rsidRPr="00FB56FB">
        <w:rPr>
          <w:rFonts w:ascii="Garamond" w:hAnsi="Garamond"/>
          <w:i/>
          <w:color w:val="000000" w:themeColor="text1"/>
          <w:sz w:val="24"/>
          <w:szCs w:val="24"/>
        </w:rPr>
        <w:t>internet</w:t>
      </w:r>
      <w:r w:rsidR="008B5420" w:rsidRPr="00FB56FB">
        <w:rPr>
          <w:rFonts w:ascii="Garamond" w:hAnsi="Garamond"/>
          <w:color w:val="000000" w:themeColor="text1"/>
          <w:sz w:val="24"/>
          <w:szCs w:val="24"/>
        </w:rPr>
        <w:t xml:space="preserve"> istituzionale </w:t>
      </w:r>
      <w:r w:rsidR="00971894" w:rsidRPr="00FB56FB">
        <w:rPr>
          <w:rFonts w:ascii="Garamond" w:hAnsi="Garamond"/>
          <w:color w:val="000000" w:themeColor="text1"/>
          <w:sz w:val="24"/>
          <w:szCs w:val="24"/>
        </w:rPr>
        <w:t>un bando</w:t>
      </w:r>
      <w:r w:rsidR="008B5420" w:rsidRPr="00FB56FB">
        <w:rPr>
          <w:rFonts w:ascii="Garamond" w:hAnsi="Garamond"/>
          <w:color w:val="000000" w:themeColor="text1"/>
          <w:sz w:val="24"/>
          <w:szCs w:val="24"/>
        </w:rPr>
        <w:t xml:space="preserve"> denominato «Bando Sport e Periferie».</w:t>
      </w:r>
    </w:p>
    <w:p w:rsidR="00971894" w:rsidRPr="00FB56FB" w:rsidRDefault="00971894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57DBA" w:rsidRPr="00FB56FB" w:rsidRDefault="00293842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2. </w:t>
      </w:r>
      <w:r w:rsidR="00971894" w:rsidRPr="00FB56FB">
        <w:rPr>
          <w:rFonts w:ascii="Garamond" w:hAnsi="Garamond"/>
          <w:color w:val="000000" w:themeColor="text1"/>
          <w:sz w:val="24"/>
          <w:szCs w:val="24"/>
        </w:rPr>
        <w:t xml:space="preserve">Le richieste sono presentate all’Ufficio per lo Sport </w:t>
      </w:r>
      <w:r w:rsidR="00B4595A" w:rsidRPr="00FB56FB">
        <w:rPr>
          <w:rFonts w:ascii="Garamond" w:hAnsi="Garamond"/>
          <w:color w:val="000000" w:themeColor="text1"/>
          <w:sz w:val="24"/>
          <w:szCs w:val="24"/>
        </w:rPr>
        <w:t xml:space="preserve">a </w:t>
      </w:r>
      <w:r w:rsidR="00971894" w:rsidRPr="00FB56FB">
        <w:rPr>
          <w:rFonts w:ascii="Garamond" w:hAnsi="Garamond"/>
          <w:color w:val="000000" w:themeColor="text1"/>
          <w:sz w:val="24"/>
          <w:szCs w:val="24"/>
        </w:rPr>
        <w:t>mezzo posta elettronica certificata entro trenta giorni dalla pubblicazione del</w:t>
      </w:r>
      <w:r w:rsidR="008B5420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B16E9" w:rsidRPr="00FB56FB">
        <w:rPr>
          <w:rFonts w:ascii="Garamond" w:hAnsi="Garamond"/>
          <w:color w:val="000000" w:themeColor="text1"/>
          <w:sz w:val="24"/>
          <w:szCs w:val="24"/>
        </w:rPr>
        <w:t>«Bando Sport e Periferie»</w:t>
      </w:r>
      <w:r w:rsidR="00971894" w:rsidRPr="00FB56FB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3B16E9" w:rsidRPr="00FB56FB">
        <w:rPr>
          <w:rFonts w:ascii="Garamond" w:hAnsi="Garamond"/>
          <w:color w:val="000000" w:themeColor="text1"/>
          <w:sz w:val="24"/>
          <w:szCs w:val="24"/>
        </w:rPr>
        <w:t>Ne</w:t>
      </w:r>
      <w:r w:rsidR="008B5420" w:rsidRPr="00FB56FB">
        <w:rPr>
          <w:rFonts w:ascii="Garamond" w:hAnsi="Garamond"/>
          <w:color w:val="000000" w:themeColor="text1"/>
          <w:sz w:val="24"/>
          <w:szCs w:val="24"/>
        </w:rPr>
        <w:t xml:space="preserve">i successivi </w:t>
      </w:r>
      <w:r w:rsidR="00953E46" w:rsidRPr="00FB56FB">
        <w:rPr>
          <w:rFonts w:ascii="Garamond" w:hAnsi="Garamond"/>
          <w:color w:val="000000" w:themeColor="text1"/>
          <w:sz w:val="24"/>
          <w:szCs w:val="24"/>
        </w:rPr>
        <w:t>quarantacinque giorni l</w:t>
      </w:r>
      <w:r w:rsidR="00971894" w:rsidRPr="00FB56FB">
        <w:rPr>
          <w:rFonts w:ascii="Garamond" w:hAnsi="Garamond"/>
          <w:color w:val="000000" w:themeColor="text1"/>
          <w:sz w:val="24"/>
          <w:szCs w:val="24"/>
        </w:rPr>
        <w:t xml:space="preserve">a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>commissione giudicatrice</w:t>
      </w:r>
      <w:r w:rsidR="00412454" w:rsidRPr="00FB56F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>formata da tre soggetti di adeguata professionalità</w:t>
      </w:r>
      <w:r w:rsidR="00953E46" w:rsidRPr="00FB56FB">
        <w:rPr>
          <w:rFonts w:ascii="Garamond" w:hAnsi="Garamond"/>
          <w:color w:val="000000" w:themeColor="text1"/>
          <w:sz w:val="24"/>
          <w:szCs w:val="24"/>
        </w:rPr>
        <w:t>,</w:t>
      </w:r>
      <w:r w:rsidR="00412454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2AC" w:rsidRPr="00FB56FB">
        <w:rPr>
          <w:rFonts w:ascii="Garamond" w:hAnsi="Garamond"/>
          <w:color w:val="000000" w:themeColor="text1"/>
          <w:sz w:val="24"/>
          <w:szCs w:val="24"/>
        </w:rPr>
        <w:t xml:space="preserve">determina la proposta di </w:t>
      </w:r>
      <w:r w:rsidR="00953E46" w:rsidRPr="00FB56FB">
        <w:rPr>
          <w:rFonts w:ascii="Garamond" w:hAnsi="Garamond"/>
          <w:color w:val="000000" w:themeColor="text1"/>
          <w:sz w:val="24"/>
          <w:szCs w:val="24"/>
        </w:rPr>
        <w:t xml:space="preserve">graduatoria </w:t>
      </w:r>
      <w:r w:rsidR="001872AC" w:rsidRPr="00FB56FB">
        <w:rPr>
          <w:rFonts w:ascii="Garamond" w:hAnsi="Garamond"/>
          <w:color w:val="000000" w:themeColor="text1"/>
          <w:sz w:val="24"/>
          <w:szCs w:val="24"/>
        </w:rPr>
        <w:t xml:space="preserve">e la trasmette all’Ufficio per lo Sport che provvede alla pubblicazione della stessa </w:t>
      </w:r>
      <w:r w:rsidR="00412454" w:rsidRPr="00FB56FB">
        <w:rPr>
          <w:rFonts w:ascii="Garamond" w:hAnsi="Garamond"/>
          <w:color w:val="000000" w:themeColor="text1"/>
          <w:sz w:val="24"/>
          <w:szCs w:val="24"/>
        </w:rPr>
        <w:t xml:space="preserve">sul </w:t>
      </w:r>
      <w:r w:rsidR="001872AC" w:rsidRPr="00FB56FB">
        <w:rPr>
          <w:rFonts w:ascii="Garamond" w:hAnsi="Garamond"/>
          <w:color w:val="000000" w:themeColor="text1"/>
          <w:sz w:val="24"/>
          <w:szCs w:val="24"/>
        </w:rPr>
        <w:t xml:space="preserve">proprio </w:t>
      </w:r>
      <w:r w:rsidR="00412454" w:rsidRPr="00FB56FB">
        <w:rPr>
          <w:rFonts w:ascii="Garamond" w:hAnsi="Garamond"/>
          <w:color w:val="000000" w:themeColor="text1"/>
          <w:sz w:val="24"/>
          <w:szCs w:val="24"/>
        </w:rPr>
        <w:t xml:space="preserve">sito </w:t>
      </w:r>
      <w:r w:rsidR="00412454" w:rsidRPr="00FB56FB">
        <w:rPr>
          <w:rFonts w:ascii="Garamond" w:hAnsi="Garamond"/>
          <w:i/>
          <w:color w:val="000000" w:themeColor="text1"/>
          <w:sz w:val="24"/>
          <w:szCs w:val="24"/>
        </w:rPr>
        <w:t>internet</w:t>
      </w:r>
      <w:r w:rsidR="00412454" w:rsidRPr="00FB56FB">
        <w:rPr>
          <w:rFonts w:ascii="Garamond" w:hAnsi="Garamond"/>
          <w:color w:val="000000" w:themeColor="text1"/>
          <w:sz w:val="24"/>
          <w:szCs w:val="24"/>
        </w:rPr>
        <w:t xml:space="preserve"> istituzionale</w:t>
      </w:r>
      <w:r w:rsidR="001872AC" w:rsidRPr="00FB56FB">
        <w:rPr>
          <w:rFonts w:ascii="Garamond" w:hAnsi="Garamond"/>
          <w:color w:val="000000" w:themeColor="text1"/>
          <w:sz w:val="24"/>
          <w:szCs w:val="24"/>
        </w:rPr>
        <w:t>.</w:t>
      </w:r>
    </w:p>
    <w:p w:rsidR="00857DBA" w:rsidRPr="00FB56FB" w:rsidRDefault="00857DBA" w:rsidP="00857DBA">
      <w:pPr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857DBA" w:rsidRPr="00FB56FB" w:rsidRDefault="006E218A" w:rsidP="00857DBA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(Art. 3</w:t>
      </w:r>
      <w:r w:rsidR="00857DBA" w:rsidRPr="00FB56FB">
        <w:rPr>
          <w:rFonts w:ascii="Garamond" w:hAnsi="Garamond"/>
          <w:b/>
          <w:color w:val="000000" w:themeColor="text1"/>
          <w:sz w:val="24"/>
          <w:szCs w:val="24"/>
        </w:rPr>
        <w:t>)</w:t>
      </w:r>
    </w:p>
    <w:p w:rsidR="00857DBA" w:rsidRPr="00FB56FB" w:rsidRDefault="00857DBA" w:rsidP="00857DBA">
      <w:pPr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Criteri di selezione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857DBA" w:rsidRPr="00FB56FB" w:rsidRDefault="00857DBA" w:rsidP="00857DBA">
      <w:pPr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857DBA" w:rsidRPr="00FB56FB" w:rsidRDefault="00293842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>La selezione delle richieste di intervento da finanziare ai sensi dell’articolo 2 avviene tenendo conto dei seguenti criteri:</w:t>
      </w:r>
    </w:p>
    <w:p w:rsidR="00857DBA" w:rsidRPr="00FB56FB" w:rsidRDefault="00857DBA" w:rsidP="00857D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localizzazione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dell’intervento: </w:t>
      </w:r>
      <w:r w:rsidR="003962DD" w:rsidRPr="00FB56FB">
        <w:rPr>
          <w:rFonts w:ascii="Garamond" w:hAnsi="Garamond"/>
          <w:color w:val="000000" w:themeColor="text1"/>
          <w:sz w:val="24"/>
          <w:szCs w:val="24"/>
        </w:rPr>
        <w:t xml:space="preserve">fino ad un massimo di </w:t>
      </w:r>
      <w:r w:rsidR="00B4595A" w:rsidRPr="00FB56FB">
        <w:rPr>
          <w:rFonts w:ascii="Garamond" w:hAnsi="Garamond"/>
          <w:color w:val="000000" w:themeColor="text1"/>
          <w:sz w:val="24"/>
          <w:szCs w:val="24"/>
        </w:rPr>
        <w:t>27</w:t>
      </w:r>
      <w:r w:rsidR="004B4D14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B56FB">
        <w:rPr>
          <w:rFonts w:ascii="Garamond" w:hAnsi="Garamond"/>
          <w:color w:val="000000" w:themeColor="text1"/>
          <w:sz w:val="24"/>
          <w:szCs w:val="24"/>
        </w:rPr>
        <w:t>punti;</w:t>
      </w:r>
    </w:p>
    <w:p w:rsidR="00857DBA" w:rsidRPr="00FB56FB" w:rsidRDefault="00857DBA" w:rsidP="00857D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lastRenderedPageBreak/>
        <w:t>stato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di avanzamento della progettazione: </w:t>
      </w:r>
      <w:r w:rsidR="003962DD" w:rsidRPr="00FB56FB">
        <w:rPr>
          <w:rFonts w:ascii="Garamond" w:hAnsi="Garamond"/>
          <w:color w:val="000000" w:themeColor="text1"/>
          <w:sz w:val="24"/>
          <w:szCs w:val="24"/>
        </w:rPr>
        <w:t xml:space="preserve">fino ad un massimo di </w:t>
      </w:r>
      <w:r w:rsidR="00B4595A" w:rsidRPr="00FB56FB">
        <w:rPr>
          <w:rFonts w:ascii="Garamond" w:hAnsi="Garamond"/>
          <w:color w:val="000000" w:themeColor="text1"/>
          <w:sz w:val="24"/>
          <w:szCs w:val="24"/>
        </w:rPr>
        <w:t xml:space="preserve">20 </w:t>
      </w:r>
      <w:r w:rsidRPr="00FB56FB">
        <w:rPr>
          <w:rFonts w:ascii="Garamond" w:hAnsi="Garamond"/>
          <w:color w:val="000000" w:themeColor="text1"/>
          <w:sz w:val="24"/>
          <w:szCs w:val="24"/>
        </w:rPr>
        <w:t>punti;</w:t>
      </w:r>
    </w:p>
    <w:p w:rsidR="00CD66FA" w:rsidRPr="00FB56FB" w:rsidRDefault="00CD66FA" w:rsidP="00CD66FA">
      <w:pPr>
        <w:pStyle w:val="Paragrafoelenco"/>
        <w:numPr>
          <w:ilvl w:val="0"/>
          <w:numId w:val="3"/>
        </w:numPr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incidenza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del contributo richiesto sull’importo complessivo dell’intervento: </w:t>
      </w:r>
      <w:r w:rsidR="003962DD" w:rsidRPr="00FB56FB">
        <w:rPr>
          <w:rFonts w:ascii="Garamond" w:hAnsi="Garamond"/>
          <w:color w:val="000000" w:themeColor="text1"/>
          <w:sz w:val="24"/>
          <w:szCs w:val="24"/>
        </w:rPr>
        <w:t xml:space="preserve">fino ad un massimo di </w:t>
      </w:r>
      <w:r w:rsidRPr="00FB56FB">
        <w:rPr>
          <w:rFonts w:ascii="Garamond" w:hAnsi="Garamond"/>
          <w:color w:val="000000" w:themeColor="text1"/>
          <w:sz w:val="24"/>
          <w:szCs w:val="24"/>
        </w:rPr>
        <w:t>19 punti</w:t>
      </w:r>
      <w:r w:rsidR="00066077" w:rsidRPr="00FB56FB">
        <w:rPr>
          <w:rFonts w:ascii="Garamond" w:hAnsi="Garamond"/>
          <w:color w:val="000000" w:themeColor="text1"/>
          <w:sz w:val="24"/>
          <w:szCs w:val="24"/>
        </w:rPr>
        <w:t>;</w:t>
      </w:r>
    </w:p>
    <w:p w:rsidR="00CD66FA" w:rsidRPr="00FB56FB" w:rsidRDefault="00CD66FA" w:rsidP="00CD66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polifunzionalità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dell’impianto: </w:t>
      </w:r>
      <w:r w:rsidR="003962DD" w:rsidRPr="00FB56FB">
        <w:rPr>
          <w:rFonts w:ascii="Garamond" w:hAnsi="Garamond"/>
          <w:color w:val="000000" w:themeColor="text1"/>
          <w:sz w:val="24"/>
          <w:szCs w:val="24"/>
        </w:rPr>
        <w:t xml:space="preserve">fino ad un massimo di </w:t>
      </w:r>
      <w:r w:rsidR="00B4595A" w:rsidRPr="00FB56FB">
        <w:rPr>
          <w:rFonts w:ascii="Garamond" w:hAnsi="Garamond"/>
          <w:color w:val="000000" w:themeColor="text1"/>
          <w:sz w:val="24"/>
          <w:szCs w:val="24"/>
        </w:rPr>
        <w:t>18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punti;</w:t>
      </w:r>
    </w:p>
    <w:p w:rsidR="000D2A2D" w:rsidRPr="00FB56FB" w:rsidRDefault="00857DBA" w:rsidP="00CD66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natura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giuridica dell’ente titolare del diritto di proprietà dell’impianto</w:t>
      </w:r>
      <w:r w:rsidR="004E0081" w:rsidRPr="00FB56FB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="003962DD" w:rsidRPr="00FB56FB">
        <w:rPr>
          <w:rFonts w:ascii="Garamond" w:hAnsi="Garamond"/>
          <w:color w:val="000000" w:themeColor="text1"/>
          <w:sz w:val="24"/>
          <w:szCs w:val="24"/>
        </w:rPr>
        <w:t xml:space="preserve">fino ad un massimo di </w:t>
      </w:r>
      <w:r w:rsidR="004E0081" w:rsidRPr="00FB56FB">
        <w:rPr>
          <w:rFonts w:ascii="Garamond" w:hAnsi="Garamond"/>
          <w:color w:val="000000" w:themeColor="text1"/>
          <w:sz w:val="24"/>
          <w:szCs w:val="24"/>
        </w:rPr>
        <w:t>1</w:t>
      </w:r>
      <w:r w:rsidR="00B4595A" w:rsidRPr="00FB56FB">
        <w:rPr>
          <w:rFonts w:ascii="Garamond" w:hAnsi="Garamond"/>
          <w:color w:val="000000" w:themeColor="text1"/>
          <w:sz w:val="24"/>
          <w:szCs w:val="24"/>
        </w:rPr>
        <w:t>6</w:t>
      </w:r>
      <w:r w:rsidR="003652DD" w:rsidRPr="00FB56FB">
        <w:rPr>
          <w:rFonts w:ascii="Garamond" w:hAnsi="Garamond"/>
          <w:color w:val="000000" w:themeColor="text1"/>
          <w:sz w:val="24"/>
          <w:szCs w:val="24"/>
        </w:rPr>
        <w:t xml:space="preserve"> punti.</w:t>
      </w:r>
    </w:p>
    <w:p w:rsidR="00B4595A" w:rsidRPr="00FB56FB" w:rsidRDefault="00B4595A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57DBA" w:rsidRPr="00FB56FB" w:rsidRDefault="00293842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2.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>Ai fini dell’assegnazione del punteggio relativo al criterio</w:t>
      </w:r>
      <w:r w:rsidR="00BE5DC6" w:rsidRPr="00FB56FB">
        <w:rPr>
          <w:rFonts w:ascii="Garamond" w:hAnsi="Garamond"/>
          <w:color w:val="000000" w:themeColor="text1"/>
          <w:sz w:val="24"/>
          <w:szCs w:val="24"/>
        </w:rPr>
        <w:t xml:space="preserve"> di cui alla lettera a)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del comma 1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>sono presi in considerazione</w:t>
      </w:r>
      <w:r w:rsidR="006E218A" w:rsidRPr="00FB56FB">
        <w:rPr>
          <w:rFonts w:ascii="Garamond" w:hAnsi="Garamond"/>
          <w:color w:val="000000" w:themeColor="text1"/>
          <w:sz w:val="24"/>
          <w:szCs w:val="24"/>
        </w:rPr>
        <w:t>, avuto riguardo a tutto il territorio nazionale,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 i seguenti parametri: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 xml:space="preserve"> i) localizzazione dell’intervento in Comuni con popolazione inferiore a 5000 abitanti (9 punti)</w:t>
      </w:r>
      <w:r w:rsidR="00FB56FB" w:rsidRPr="00FB56FB">
        <w:rPr>
          <w:rFonts w:ascii="Garamond" w:hAnsi="Garamond"/>
          <w:color w:val="000000" w:themeColor="text1"/>
          <w:sz w:val="24"/>
          <w:szCs w:val="24"/>
        </w:rPr>
        <w:t>;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>i</w:t>
      </w:r>
      <w:r w:rsidR="00BA6C82" w:rsidRPr="00FB56FB">
        <w:rPr>
          <w:rFonts w:ascii="Garamond" w:hAnsi="Garamond"/>
          <w:color w:val="000000" w:themeColor="text1"/>
          <w:sz w:val="24"/>
          <w:szCs w:val="24"/>
        </w:rPr>
        <w:t>i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) indicatori di reddito Istat, con preferenza per le aree </w:t>
      </w:r>
      <w:r w:rsidR="006E218A" w:rsidRPr="00FB56FB">
        <w:rPr>
          <w:rFonts w:ascii="Garamond" w:hAnsi="Garamond"/>
          <w:color w:val="000000" w:themeColor="text1"/>
          <w:sz w:val="24"/>
          <w:szCs w:val="24"/>
        </w:rPr>
        <w:t>con il livello più basso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>6</w:t>
      </w:r>
      <w:r w:rsidR="00B4595A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punti); 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>i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>ii) indicatori Istat di scolarizzazione, con preferenza per le aree coi livelli più bassi (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>6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 punti</w:t>
      </w:r>
      <w:r w:rsidR="00B4595A" w:rsidRPr="00FB56FB">
        <w:rPr>
          <w:rFonts w:ascii="Garamond" w:hAnsi="Garamond"/>
          <w:color w:val="000000" w:themeColor="text1"/>
          <w:sz w:val="24"/>
          <w:szCs w:val="24"/>
        </w:rPr>
        <w:t>); i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>v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>) localizzazione dell’intervento in un’area interessata da calamità naturali in epoca successiva al 2008 (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>6</w:t>
      </w:r>
      <w:r w:rsidR="00B4595A" w:rsidRPr="00FB56FB">
        <w:rPr>
          <w:rFonts w:ascii="Garamond" w:hAnsi="Garamond"/>
          <w:color w:val="000000" w:themeColor="text1"/>
          <w:sz w:val="24"/>
          <w:szCs w:val="24"/>
        </w:rPr>
        <w:t xml:space="preserve"> punti).</w:t>
      </w:r>
    </w:p>
    <w:p w:rsidR="00FB56FB" w:rsidRDefault="00FB56FB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57DBA" w:rsidRPr="00FB56FB" w:rsidRDefault="00293842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3.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Avuto riguardo al tipo di intervento richiesto, il punteggio di cui alla lettera b) </w:t>
      </w:r>
      <w:r>
        <w:rPr>
          <w:rFonts w:ascii="Garamond" w:hAnsi="Garamond"/>
          <w:color w:val="000000" w:themeColor="text1"/>
          <w:sz w:val="24"/>
          <w:szCs w:val="24"/>
        </w:rPr>
        <w:t xml:space="preserve">del comma 1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>è assegnato in ordine decrescente a seconda che le richieste siano corredate da: i) progetto esecutivo (</w:t>
      </w:r>
      <w:r w:rsidR="003652DD" w:rsidRPr="00FB56FB">
        <w:rPr>
          <w:rFonts w:ascii="Garamond" w:hAnsi="Garamond"/>
          <w:color w:val="000000" w:themeColor="text1"/>
          <w:sz w:val="24"/>
          <w:szCs w:val="24"/>
        </w:rPr>
        <w:t>20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 punti); ii) progetto definitivo </w:t>
      </w:r>
      <w:r w:rsidR="00FE7498" w:rsidRPr="00FB56FB">
        <w:rPr>
          <w:rFonts w:ascii="Garamond" w:hAnsi="Garamond"/>
          <w:color w:val="000000" w:themeColor="text1"/>
          <w:sz w:val="24"/>
          <w:szCs w:val="24"/>
        </w:rPr>
        <w:t>(15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 punti); iii) </w:t>
      </w:r>
      <w:r w:rsidR="003968D7" w:rsidRPr="00FB56FB">
        <w:rPr>
          <w:rFonts w:ascii="Garamond" w:hAnsi="Garamond"/>
          <w:color w:val="000000" w:themeColor="text1"/>
          <w:sz w:val="24"/>
          <w:szCs w:val="24"/>
        </w:rPr>
        <w:t xml:space="preserve">progetto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>di fattibilità tecnica ed economica (</w:t>
      </w:r>
      <w:r w:rsidR="00FE7498" w:rsidRPr="00FB56FB">
        <w:rPr>
          <w:rFonts w:ascii="Garamond" w:hAnsi="Garamond"/>
          <w:color w:val="000000" w:themeColor="text1"/>
          <w:sz w:val="24"/>
          <w:szCs w:val="24"/>
        </w:rPr>
        <w:t>10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 punti).</w:t>
      </w:r>
      <w:r w:rsidR="003968D7" w:rsidRPr="00FB56FB">
        <w:rPr>
          <w:rFonts w:ascii="Garamond" w:hAnsi="Garamond"/>
          <w:color w:val="000000" w:themeColor="text1"/>
          <w:sz w:val="24"/>
          <w:szCs w:val="24"/>
        </w:rPr>
        <w:t xml:space="preserve"> L’attribuzione di tali punteggi è subordinata alla preventiva approvazione dei progetti da parte delle amministrazioni pubbliche competenti.</w:t>
      </w:r>
    </w:p>
    <w:p w:rsidR="00FB56FB" w:rsidRDefault="00FB56FB" w:rsidP="003652DD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C69FB" w:rsidRPr="00FB56FB" w:rsidRDefault="00293842" w:rsidP="003652DD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4. </w:t>
      </w:r>
      <w:r w:rsidR="003652DD" w:rsidRPr="00FB56FB">
        <w:rPr>
          <w:rFonts w:ascii="Garamond" w:hAnsi="Garamond"/>
          <w:color w:val="000000" w:themeColor="text1"/>
          <w:sz w:val="24"/>
          <w:szCs w:val="24"/>
        </w:rPr>
        <w:t xml:space="preserve">Il punteggio di cui alla lettera c) </w:t>
      </w:r>
      <w:r>
        <w:rPr>
          <w:rFonts w:ascii="Garamond" w:hAnsi="Garamond"/>
          <w:color w:val="000000" w:themeColor="text1"/>
          <w:sz w:val="24"/>
          <w:szCs w:val="24"/>
        </w:rPr>
        <w:t xml:space="preserve">del comma 1 </w:t>
      </w:r>
      <w:r w:rsidR="003652DD" w:rsidRPr="00FB56FB">
        <w:rPr>
          <w:rFonts w:ascii="Garamond" w:hAnsi="Garamond"/>
          <w:color w:val="000000" w:themeColor="text1"/>
          <w:sz w:val="24"/>
          <w:szCs w:val="24"/>
        </w:rPr>
        <w:t>è assegnato in misura proporzionale alla quota di cofinanziamento del contributo richiesto secondo</w:t>
      </w:r>
      <w:r w:rsidR="00BC69FB" w:rsidRPr="00FB56FB">
        <w:rPr>
          <w:rFonts w:ascii="Garamond" w:hAnsi="Garamond"/>
          <w:color w:val="000000" w:themeColor="text1"/>
          <w:sz w:val="24"/>
          <w:szCs w:val="24"/>
        </w:rPr>
        <w:t xml:space="preserve"> la formula di seguito indicata:</w:t>
      </w:r>
    </w:p>
    <w:p w:rsidR="00066077" w:rsidRPr="00FB56FB" w:rsidRDefault="00066077" w:rsidP="003652DD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C69FB" w:rsidRPr="00FB56FB" w:rsidRDefault="00BC69FB" w:rsidP="0095658C">
      <w:p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color w:val="000000" w:themeColor="text1"/>
          <w:sz w:val="24"/>
          <w:szCs w:val="24"/>
        </w:rPr>
        <w:t>A</w:t>
      </w:r>
      <w:r w:rsidRPr="00FB56FB">
        <w:rPr>
          <w:rFonts w:ascii="Garamond" w:hAnsi="Garamond"/>
          <w:color w:val="000000" w:themeColor="text1"/>
          <w:sz w:val="24"/>
          <w:szCs w:val="24"/>
          <w:vertAlign w:val="subscript"/>
        </w:rPr>
        <w:t xml:space="preserve"> i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=</w:t>
      </w:r>
      <w:r w:rsidR="005F2075" w:rsidRPr="00FB56FB">
        <w:rPr>
          <w:rFonts w:ascii="Garamond" w:hAnsi="Garamond"/>
          <w:color w:val="000000" w:themeColor="text1"/>
          <w:sz w:val="24"/>
          <w:szCs w:val="24"/>
        </w:rPr>
        <w:t xml:space="preserve"> c</w:t>
      </w:r>
      <w:r w:rsidRPr="00FB56FB">
        <w:rPr>
          <w:rFonts w:ascii="Garamond" w:hAnsi="Garamond"/>
          <w:color w:val="000000" w:themeColor="text1"/>
          <w:sz w:val="24"/>
          <w:szCs w:val="24"/>
        </w:rPr>
        <w:t>ofinanziamento</w:t>
      </w:r>
      <w:r w:rsidR="005F2075" w:rsidRPr="00FB56FB">
        <w:rPr>
          <w:rFonts w:ascii="Garamond" w:hAnsi="Garamond"/>
          <w:color w:val="000000" w:themeColor="text1"/>
          <w:sz w:val="24"/>
          <w:szCs w:val="24"/>
        </w:rPr>
        <w:t xml:space="preserve"> dichiarato dal Proponente;</w:t>
      </w:r>
    </w:p>
    <w:p w:rsidR="005F2075" w:rsidRPr="00FB56FB" w:rsidRDefault="005F2075" w:rsidP="0095658C">
      <w:p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color w:val="000000" w:themeColor="text1"/>
          <w:sz w:val="24"/>
          <w:szCs w:val="24"/>
        </w:rPr>
        <w:t>B</w:t>
      </w:r>
      <w:r w:rsidRPr="00FB56FB">
        <w:rPr>
          <w:rFonts w:ascii="Garamond" w:hAnsi="Garamond"/>
          <w:color w:val="000000" w:themeColor="text1"/>
          <w:sz w:val="24"/>
          <w:szCs w:val="24"/>
          <w:vertAlign w:val="subscript"/>
        </w:rPr>
        <w:t xml:space="preserve"> i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= costo del quadro economico dell’intervento (importo lavori + somme a disposizione);</w:t>
      </w:r>
    </w:p>
    <w:p w:rsidR="005F2075" w:rsidRPr="00FB56FB" w:rsidRDefault="005F2075" w:rsidP="0095658C">
      <w:p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X</w:t>
      </w:r>
      <w:r w:rsidRPr="00FB56FB">
        <w:rPr>
          <w:rFonts w:ascii="Garamond" w:hAnsi="Garamond"/>
          <w:color w:val="000000" w:themeColor="text1"/>
          <w:sz w:val="24"/>
          <w:szCs w:val="24"/>
          <w:vertAlign w:val="subscript"/>
        </w:rPr>
        <w:t xml:space="preserve"> </w:t>
      </w: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=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punteggio massimo previsto alla lettera c) pari a 19 punti;</w:t>
      </w:r>
    </w:p>
    <w:p w:rsidR="005F2075" w:rsidRPr="00FB56FB" w:rsidRDefault="005F2075" w:rsidP="0095658C">
      <w:p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FB56FB">
        <w:rPr>
          <w:rFonts w:ascii="Garamond" w:hAnsi="Garamond"/>
          <w:color w:val="000000" w:themeColor="text1"/>
          <w:sz w:val="24"/>
          <w:szCs w:val="24"/>
        </w:rPr>
        <w:t>P</w:t>
      </w:r>
      <w:r w:rsidRPr="00FB56FB">
        <w:rPr>
          <w:rFonts w:ascii="Garamond" w:hAnsi="Garamond"/>
          <w:color w:val="000000" w:themeColor="text1"/>
          <w:sz w:val="24"/>
          <w:szCs w:val="24"/>
          <w:vertAlign w:val="subscript"/>
        </w:rPr>
        <w:t>i</w:t>
      </w:r>
      <w:proofErr w:type="spell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= punteggio assegnato al Proponente;</w:t>
      </w:r>
    </w:p>
    <w:p w:rsidR="00A27F5C" w:rsidRPr="00FB56FB" w:rsidRDefault="00A27F5C" w:rsidP="0095658C">
      <w:pPr>
        <w:spacing w:after="0" w:line="240" w:lineRule="auto"/>
        <w:jc w:val="center"/>
        <w:rPr>
          <w:rFonts w:ascii="Garamond" w:eastAsiaTheme="minorEastAsia" w:hAnsi="Garamond"/>
          <w:color w:val="000000" w:themeColor="text1"/>
          <w:sz w:val="24"/>
          <w:szCs w:val="24"/>
        </w:rPr>
      </w:pPr>
    </w:p>
    <w:p w:rsidR="005F2075" w:rsidRPr="00FB56FB" w:rsidRDefault="004F72CC" w:rsidP="0095658C">
      <w:pPr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Pi=X*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Ai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Bi</m:t>
              </m:r>
            </m:den>
          </m:f>
        </m:oMath>
      </m:oMathPara>
    </w:p>
    <w:p w:rsidR="00274069" w:rsidRPr="00FB56FB" w:rsidRDefault="003652DD" w:rsidP="003652DD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3652DD" w:rsidRPr="00FB56FB" w:rsidDel="00F73330" w:rsidRDefault="00293842" w:rsidP="003652DD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5. </w:t>
      </w:r>
      <w:r w:rsidR="003652DD" w:rsidRPr="00FB56FB">
        <w:rPr>
          <w:rFonts w:ascii="Garamond" w:hAnsi="Garamond"/>
          <w:color w:val="000000" w:themeColor="text1"/>
          <w:sz w:val="24"/>
          <w:szCs w:val="24"/>
        </w:rPr>
        <w:t>Per il punteggio</w:t>
      </w:r>
      <w:r w:rsidR="003652DD" w:rsidRPr="00FB56FB" w:rsidDel="00F73330">
        <w:rPr>
          <w:rFonts w:ascii="Garamond" w:hAnsi="Garamond"/>
          <w:color w:val="000000" w:themeColor="text1"/>
          <w:sz w:val="24"/>
          <w:szCs w:val="24"/>
        </w:rPr>
        <w:t xml:space="preserve"> di cui alla lettera </w:t>
      </w:r>
      <w:r w:rsidR="003652DD" w:rsidRPr="00FB56FB">
        <w:rPr>
          <w:rFonts w:ascii="Garamond" w:hAnsi="Garamond"/>
          <w:color w:val="000000" w:themeColor="text1"/>
          <w:sz w:val="24"/>
          <w:szCs w:val="24"/>
        </w:rPr>
        <w:t>d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>)</w:t>
      </w:r>
      <w:r>
        <w:rPr>
          <w:rFonts w:ascii="Garamond" w:hAnsi="Garamond"/>
          <w:color w:val="000000" w:themeColor="text1"/>
          <w:sz w:val="24"/>
          <w:szCs w:val="24"/>
        </w:rPr>
        <w:t xml:space="preserve"> del comma 1 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 xml:space="preserve">sono assegnati 3 </w:t>
      </w:r>
      <w:r w:rsidR="003652DD" w:rsidRPr="00FB56FB" w:rsidDel="00F73330">
        <w:rPr>
          <w:rFonts w:ascii="Garamond" w:hAnsi="Garamond"/>
          <w:color w:val="000000" w:themeColor="text1"/>
          <w:sz w:val="24"/>
          <w:szCs w:val="24"/>
        </w:rPr>
        <w:t>punti per ogni disciplina sportiva praticabile simultaneamente all’interno dell’impianto, fino a un massimo di 1</w:t>
      </w:r>
      <w:r w:rsidR="00B4595A" w:rsidRPr="00FB56FB">
        <w:rPr>
          <w:rFonts w:ascii="Garamond" w:hAnsi="Garamond"/>
          <w:color w:val="000000" w:themeColor="text1"/>
          <w:sz w:val="24"/>
          <w:szCs w:val="24"/>
        </w:rPr>
        <w:t>8</w:t>
      </w:r>
      <w:r w:rsidR="003652DD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652DD" w:rsidRPr="00FB56FB" w:rsidDel="00F73330">
        <w:rPr>
          <w:rFonts w:ascii="Garamond" w:hAnsi="Garamond"/>
          <w:color w:val="000000" w:themeColor="text1"/>
          <w:sz w:val="24"/>
          <w:szCs w:val="24"/>
        </w:rPr>
        <w:t>punti.</w:t>
      </w:r>
    </w:p>
    <w:p w:rsidR="00293842" w:rsidRDefault="00293842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57DBA" w:rsidRPr="00FB56FB" w:rsidRDefault="00293842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6.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Il punteggio di cui alla lettera </w:t>
      </w:r>
      <w:r w:rsidR="003652DD" w:rsidRPr="00FB56FB">
        <w:rPr>
          <w:rFonts w:ascii="Garamond" w:hAnsi="Garamond"/>
          <w:color w:val="000000" w:themeColor="text1"/>
          <w:sz w:val="24"/>
          <w:szCs w:val="24"/>
        </w:rPr>
        <w:t>e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) </w:t>
      </w:r>
      <w:r>
        <w:rPr>
          <w:rFonts w:ascii="Garamond" w:hAnsi="Garamond"/>
          <w:color w:val="000000" w:themeColor="text1"/>
          <w:sz w:val="24"/>
          <w:szCs w:val="24"/>
        </w:rPr>
        <w:t xml:space="preserve">del comma 1 </w:t>
      </w:r>
      <w:r w:rsidR="004E0081" w:rsidRPr="00FB56FB">
        <w:rPr>
          <w:rFonts w:ascii="Garamond" w:hAnsi="Garamond"/>
          <w:color w:val="000000" w:themeColor="text1"/>
          <w:sz w:val="24"/>
          <w:szCs w:val="24"/>
        </w:rPr>
        <w:t>è assegnato in ordine decrescente</w:t>
      </w:r>
      <w:r w:rsidR="00236DE5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E0081" w:rsidRPr="00FB56FB">
        <w:rPr>
          <w:rFonts w:ascii="Garamond" w:hAnsi="Garamond"/>
          <w:color w:val="000000" w:themeColor="text1"/>
          <w:sz w:val="24"/>
          <w:szCs w:val="24"/>
        </w:rPr>
        <w:t>a seconda che le richieste di intervento abbiano a oggetto impianti o aree di proprietà: i) di un’amministrazione pubblica (</w:t>
      </w:r>
      <w:r w:rsidR="00236DE5" w:rsidRPr="00FB56FB">
        <w:rPr>
          <w:rFonts w:ascii="Garamond" w:hAnsi="Garamond"/>
          <w:color w:val="000000" w:themeColor="text1"/>
          <w:sz w:val="24"/>
          <w:szCs w:val="24"/>
        </w:rPr>
        <w:t>10</w:t>
      </w:r>
      <w:r w:rsidR="00BE5DC6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E0081" w:rsidRPr="00FB56FB">
        <w:rPr>
          <w:rFonts w:ascii="Garamond" w:hAnsi="Garamond"/>
          <w:color w:val="000000" w:themeColor="text1"/>
          <w:sz w:val="24"/>
          <w:szCs w:val="24"/>
        </w:rPr>
        <w:t xml:space="preserve">punti); ii) di </w:t>
      </w:r>
      <w:r w:rsidR="00236DE5" w:rsidRPr="00FB56FB">
        <w:rPr>
          <w:rFonts w:ascii="Garamond" w:hAnsi="Garamond"/>
          <w:color w:val="000000" w:themeColor="text1"/>
          <w:sz w:val="24"/>
          <w:szCs w:val="24"/>
        </w:rPr>
        <w:t>istituzioni scolastiche</w:t>
      </w:r>
      <w:r w:rsidR="00BA6C82" w:rsidRPr="00FB56FB">
        <w:rPr>
          <w:rFonts w:ascii="Garamond" w:hAnsi="Garamond"/>
          <w:color w:val="000000" w:themeColor="text1"/>
          <w:sz w:val="24"/>
          <w:szCs w:val="24"/>
        </w:rPr>
        <w:t xml:space="preserve"> di ogni ordine e grado</w:t>
      </w:r>
      <w:r w:rsidR="00FB56FB" w:rsidRPr="00FB56FB">
        <w:rPr>
          <w:rFonts w:ascii="Garamond" w:hAnsi="Garamond"/>
          <w:color w:val="000000" w:themeColor="text1"/>
          <w:sz w:val="24"/>
          <w:szCs w:val="24"/>
        </w:rPr>
        <w:t>,</w:t>
      </w:r>
      <w:r w:rsidR="00236DE5" w:rsidRPr="00FB56FB">
        <w:rPr>
          <w:rFonts w:ascii="Garamond" w:hAnsi="Garamond"/>
          <w:color w:val="000000" w:themeColor="text1"/>
          <w:sz w:val="24"/>
          <w:szCs w:val="24"/>
        </w:rPr>
        <w:t xml:space="preserve"> anche comunali </w:t>
      </w:r>
      <w:r w:rsidR="004E0081" w:rsidRPr="00FB56FB">
        <w:rPr>
          <w:rFonts w:ascii="Garamond" w:hAnsi="Garamond"/>
          <w:color w:val="000000" w:themeColor="text1"/>
          <w:sz w:val="24"/>
          <w:szCs w:val="24"/>
        </w:rPr>
        <w:t>(</w:t>
      </w:r>
      <w:r w:rsidR="00236DE5" w:rsidRPr="00FB56FB">
        <w:rPr>
          <w:rFonts w:ascii="Garamond" w:hAnsi="Garamond"/>
          <w:color w:val="000000" w:themeColor="text1"/>
          <w:sz w:val="24"/>
          <w:szCs w:val="24"/>
        </w:rPr>
        <w:t>6</w:t>
      </w:r>
      <w:r w:rsidR="004E0081" w:rsidRPr="00FB56FB">
        <w:rPr>
          <w:rFonts w:ascii="Garamond" w:hAnsi="Garamond"/>
          <w:color w:val="000000" w:themeColor="text1"/>
          <w:sz w:val="24"/>
          <w:szCs w:val="24"/>
        </w:rPr>
        <w:t xml:space="preserve"> punti); iii) </w:t>
      </w:r>
      <w:r w:rsidR="00BE5DC6" w:rsidRPr="00FB56FB">
        <w:rPr>
          <w:rFonts w:ascii="Garamond" w:hAnsi="Garamond"/>
          <w:color w:val="000000" w:themeColor="text1"/>
          <w:sz w:val="24"/>
          <w:szCs w:val="24"/>
        </w:rPr>
        <w:t xml:space="preserve">di un ente </w:t>
      </w:r>
      <w:r w:rsidR="00BE5DC6" w:rsidRPr="00FB56FB">
        <w:rPr>
          <w:rFonts w:ascii="Garamond" w:hAnsi="Garamond"/>
          <w:i/>
          <w:color w:val="000000" w:themeColor="text1"/>
          <w:sz w:val="24"/>
          <w:szCs w:val="24"/>
        </w:rPr>
        <w:t>no profit</w:t>
      </w:r>
      <w:r w:rsidR="00236DE5" w:rsidRPr="00FB56FB">
        <w:rPr>
          <w:rFonts w:ascii="Garamond" w:hAnsi="Garamond"/>
          <w:color w:val="000000" w:themeColor="text1"/>
          <w:sz w:val="24"/>
          <w:szCs w:val="24"/>
        </w:rPr>
        <w:t xml:space="preserve"> (6</w:t>
      </w:r>
      <w:r w:rsidR="004E0081" w:rsidRPr="00FB56FB">
        <w:rPr>
          <w:rFonts w:ascii="Garamond" w:hAnsi="Garamond"/>
          <w:color w:val="000000" w:themeColor="text1"/>
          <w:sz w:val="24"/>
          <w:szCs w:val="24"/>
        </w:rPr>
        <w:t xml:space="preserve"> punti)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>.</w:t>
      </w:r>
      <w:r w:rsidR="00236DE5" w:rsidRPr="00FB56FB">
        <w:rPr>
          <w:rFonts w:ascii="Garamond" w:hAnsi="Garamond"/>
          <w:color w:val="000000" w:themeColor="text1"/>
          <w:sz w:val="24"/>
          <w:szCs w:val="24"/>
        </w:rPr>
        <w:t xml:space="preserve"> Nel caso in cui il beneficiario sia in possesso, anche cumulativamente, dei suddetti requisiti i relativi punteggi saranno oggetto di sommatoria.</w:t>
      </w:r>
    </w:p>
    <w:p w:rsidR="00FB56FB" w:rsidRDefault="00FB56FB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57DBA" w:rsidRPr="00FB56FB" w:rsidRDefault="00293842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7.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Sono ammesse al finanziamento le richieste di intervento che abbiano raggiunto un punteggio minimo di 40 punti su </w:t>
      </w:r>
      <w:r w:rsidR="005F34AE" w:rsidRPr="00FB56FB">
        <w:rPr>
          <w:rFonts w:ascii="Garamond" w:hAnsi="Garamond"/>
          <w:color w:val="000000" w:themeColor="text1"/>
          <w:sz w:val="24"/>
          <w:szCs w:val="24"/>
        </w:rPr>
        <w:t>100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FB56FB" w:rsidRDefault="00FB56FB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42EDD" w:rsidRPr="00FB56FB" w:rsidRDefault="00293842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8. 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>In caso di parità di punteggio saranno prioritariamente finanziate le richieste di intervento localizzate in Comuni con popolazione inferiore ai 5000 abitanti.</w:t>
      </w:r>
    </w:p>
    <w:p w:rsidR="00FB56FB" w:rsidRDefault="00FB56FB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65507" w:rsidRPr="00FB56FB" w:rsidRDefault="00293842" w:rsidP="00857DB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9. </w:t>
      </w:r>
      <w:r w:rsidR="00A65507" w:rsidRPr="00FB56FB">
        <w:rPr>
          <w:rFonts w:ascii="Garamond" w:hAnsi="Garamond"/>
          <w:color w:val="000000" w:themeColor="text1"/>
          <w:sz w:val="24"/>
          <w:szCs w:val="24"/>
        </w:rPr>
        <w:t xml:space="preserve">L’erogazione del contributo avviene </w:t>
      </w:r>
      <w:r w:rsidR="00F90516" w:rsidRPr="00FB56FB">
        <w:rPr>
          <w:rFonts w:ascii="Garamond" w:hAnsi="Garamond"/>
          <w:color w:val="000000" w:themeColor="text1"/>
          <w:sz w:val="24"/>
          <w:szCs w:val="24"/>
        </w:rPr>
        <w:t xml:space="preserve">in modo frazionato in proporzione </w:t>
      </w:r>
      <w:r w:rsidR="003F3F9C" w:rsidRPr="00FB56FB">
        <w:rPr>
          <w:rFonts w:ascii="Garamond" w:hAnsi="Garamond"/>
          <w:color w:val="000000" w:themeColor="text1"/>
          <w:sz w:val="24"/>
          <w:szCs w:val="24"/>
        </w:rPr>
        <w:t>agli stati</w:t>
      </w:r>
      <w:r w:rsidR="00A65507" w:rsidRPr="00FB56FB">
        <w:rPr>
          <w:rFonts w:ascii="Garamond" w:hAnsi="Garamond"/>
          <w:color w:val="000000" w:themeColor="text1"/>
          <w:sz w:val="24"/>
          <w:szCs w:val="24"/>
        </w:rPr>
        <w:t xml:space="preserve"> di avanzamento dei lavori</w:t>
      </w:r>
      <w:r w:rsidR="00B1551D" w:rsidRPr="00FB56FB">
        <w:rPr>
          <w:rFonts w:ascii="Garamond" w:hAnsi="Garamond"/>
          <w:color w:val="000000" w:themeColor="text1"/>
          <w:sz w:val="24"/>
          <w:szCs w:val="24"/>
        </w:rPr>
        <w:t>,</w:t>
      </w:r>
      <w:r w:rsidR="00A65507" w:rsidRPr="00FB56FB">
        <w:rPr>
          <w:rFonts w:ascii="Garamond" w:hAnsi="Garamond"/>
          <w:color w:val="000000" w:themeColor="text1"/>
          <w:sz w:val="24"/>
          <w:szCs w:val="24"/>
        </w:rPr>
        <w:t xml:space="preserve"> certificati dal direttore dei lavori</w:t>
      </w:r>
      <w:r w:rsidR="00B1551D" w:rsidRPr="00FB56FB">
        <w:rPr>
          <w:rFonts w:ascii="Garamond" w:hAnsi="Garamond"/>
          <w:color w:val="000000" w:themeColor="text1"/>
          <w:sz w:val="24"/>
          <w:szCs w:val="24"/>
        </w:rPr>
        <w:t>.</w:t>
      </w:r>
    </w:p>
    <w:p w:rsidR="001E20D9" w:rsidRPr="00FB56FB" w:rsidRDefault="001E20D9" w:rsidP="00805392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4E2D44" w:rsidRPr="00FB56FB" w:rsidRDefault="004E2D44" w:rsidP="00805392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 xml:space="preserve">(Art. </w:t>
      </w:r>
      <w:r w:rsidR="000F6F60" w:rsidRPr="00FB56FB">
        <w:rPr>
          <w:rFonts w:ascii="Garamond" w:hAnsi="Garamond"/>
          <w:b/>
          <w:color w:val="000000" w:themeColor="text1"/>
          <w:sz w:val="24"/>
          <w:szCs w:val="24"/>
        </w:rPr>
        <w:t>4</w:t>
      </w:r>
      <w:r w:rsidRPr="00FB56FB">
        <w:rPr>
          <w:rFonts w:ascii="Garamond" w:hAnsi="Garamond"/>
          <w:b/>
          <w:color w:val="000000" w:themeColor="text1"/>
          <w:sz w:val="24"/>
          <w:szCs w:val="24"/>
        </w:rPr>
        <w:t>)</w:t>
      </w:r>
    </w:p>
    <w:p w:rsidR="004E2D44" w:rsidRPr="00FB56FB" w:rsidRDefault="00E75523" w:rsidP="00805392">
      <w:pPr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Cause di esclusione</w:t>
      </w:r>
    </w:p>
    <w:p w:rsidR="004E2D44" w:rsidRPr="00FB56FB" w:rsidRDefault="004E2D44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35F63" w:rsidRPr="00FB56FB" w:rsidRDefault="00293842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 </w:t>
      </w:r>
      <w:r w:rsidR="00857DBA" w:rsidRPr="00FB56FB">
        <w:rPr>
          <w:rFonts w:ascii="Garamond" w:hAnsi="Garamond"/>
          <w:color w:val="000000" w:themeColor="text1"/>
          <w:sz w:val="24"/>
          <w:szCs w:val="24"/>
        </w:rPr>
        <w:t>S</w:t>
      </w:r>
      <w:r w:rsidR="00E55D2B" w:rsidRPr="00FB56FB">
        <w:rPr>
          <w:rFonts w:ascii="Garamond" w:hAnsi="Garamond"/>
          <w:color w:val="000000" w:themeColor="text1"/>
          <w:sz w:val="24"/>
          <w:szCs w:val="24"/>
        </w:rPr>
        <w:t>ono escluse</w:t>
      </w:r>
      <w:r w:rsidR="00E75523" w:rsidRPr="00FB56FB">
        <w:rPr>
          <w:rFonts w:ascii="Garamond" w:hAnsi="Garamond"/>
          <w:color w:val="000000" w:themeColor="text1"/>
          <w:sz w:val="24"/>
          <w:szCs w:val="24"/>
        </w:rPr>
        <w:t xml:space="preserve"> le richieste</w:t>
      </w:r>
      <w:r w:rsidR="00446F6A" w:rsidRPr="00FB56FB">
        <w:rPr>
          <w:rFonts w:ascii="Garamond" w:hAnsi="Garamond"/>
          <w:color w:val="000000" w:themeColor="text1"/>
          <w:sz w:val="24"/>
          <w:szCs w:val="24"/>
        </w:rPr>
        <w:t>:</w:t>
      </w:r>
    </w:p>
    <w:p w:rsidR="00257BC7" w:rsidRPr="00FB56FB" w:rsidRDefault="00E55D2B" w:rsidP="0095658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già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81C6E" w:rsidRPr="00FB56FB">
        <w:rPr>
          <w:rFonts w:ascii="Garamond" w:hAnsi="Garamond"/>
          <w:color w:val="000000" w:themeColor="text1"/>
          <w:sz w:val="24"/>
          <w:szCs w:val="24"/>
        </w:rPr>
        <w:t>finanziate con altre risorse pubbliche diverse da quelle di cui al presente decreto</w:t>
      </w:r>
      <w:r w:rsidR="00257BC7" w:rsidRPr="00FB56FB">
        <w:rPr>
          <w:rFonts w:ascii="Garamond" w:hAnsi="Garamond"/>
          <w:color w:val="000000" w:themeColor="text1"/>
          <w:sz w:val="24"/>
          <w:szCs w:val="24"/>
        </w:rPr>
        <w:t xml:space="preserve">; </w:t>
      </w:r>
    </w:p>
    <w:p w:rsidR="00242EDD" w:rsidRPr="00FB56FB" w:rsidRDefault="00242EDD" w:rsidP="0095658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presentate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da enti che siano già stati assegnatari di fin</w:t>
      </w:r>
      <w:r w:rsidR="002228F7" w:rsidRPr="00FB56FB">
        <w:rPr>
          <w:rFonts w:ascii="Garamond" w:hAnsi="Garamond"/>
          <w:color w:val="000000" w:themeColor="text1"/>
          <w:sz w:val="24"/>
          <w:szCs w:val="24"/>
        </w:rPr>
        <w:t>anziamenti a valere sul fondo “Sport e P</w:t>
      </w:r>
      <w:r w:rsidRPr="00FB56FB">
        <w:rPr>
          <w:rFonts w:ascii="Garamond" w:hAnsi="Garamond"/>
          <w:color w:val="000000" w:themeColor="text1"/>
          <w:sz w:val="24"/>
          <w:szCs w:val="24"/>
        </w:rPr>
        <w:t>eriferie” di cui all’articolo 15, comma</w:t>
      </w:r>
      <w:r w:rsidR="002228F7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B56FB">
        <w:rPr>
          <w:rFonts w:ascii="Garamond" w:hAnsi="Garamond"/>
          <w:color w:val="000000" w:themeColor="text1"/>
          <w:sz w:val="24"/>
          <w:szCs w:val="24"/>
        </w:rPr>
        <w:t>1, del decreto-legge 25 novembre 2015, n. 185, convertito, con modificazioni, dalla legge 22 gennaio 2016, n. 9</w:t>
      </w:r>
      <w:r w:rsidR="00440080" w:rsidRPr="00FB56FB">
        <w:rPr>
          <w:rFonts w:ascii="Garamond" w:hAnsi="Garamond"/>
          <w:color w:val="000000" w:themeColor="text1"/>
          <w:sz w:val="24"/>
          <w:szCs w:val="24"/>
        </w:rPr>
        <w:t xml:space="preserve"> o sul Fondo di cui all’articolo 1, comma 140, della legge 11 dicembre 2016, n. 232.</w:t>
      </w:r>
      <w:r w:rsidR="002228F7" w:rsidRPr="00FB56FB">
        <w:rPr>
          <w:rFonts w:ascii="Garamond" w:hAnsi="Garamond"/>
          <w:color w:val="000000" w:themeColor="text1"/>
          <w:sz w:val="24"/>
          <w:szCs w:val="24"/>
        </w:rPr>
        <w:t>;</w:t>
      </w:r>
    </w:p>
    <w:p w:rsidR="003B5D60" w:rsidRPr="00FB56FB" w:rsidRDefault="00E55D2B" w:rsidP="0095658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relative</w:t>
      </w:r>
      <w:proofErr w:type="gramEnd"/>
      <w:r w:rsidR="003B5D60" w:rsidRPr="00FB56FB">
        <w:rPr>
          <w:rFonts w:ascii="Garamond" w:hAnsi="Garamond"/>
          <w:color w:val="000000" w:themeColor="text1"/>
          <w:sz w:val="24"/>
          <w:szCs w:val="24"/>
        </w:rPr>
        <w:t xml:space="preserve"> a impianti sportivi oggetto di contenzioso giudiziario o </w:t>
      </w:r>
      <w:r w:rsidR="00257BC7" w:rsidRPr="00FB56FB">
        <w:rPr>
          <w:rFonts w:ascii="Garamond" w:hAnsi="Garamond"/>
          <w:color w:val="000000" w:themeColor="text1"/>
          <w:sz w:val="24"/>
          <w:szCs w:val="24"/>
        </w:rPr>
        <w:t xml:space="preserve">che insistono </w:t>
      </w:r>
      <w:r w:rsidR="003B5D60" w:rsidRPr="00FB56FB">
        <w:rPr>
          <w:rFonts w:ascii="Garamond" w:hAnsi="Garamond"/>
          <w:color w:val="000000" w:themeColor="text1"/>
          <w:sz w:val="24"/>
          <w:szCs w:val="24"/>
        </w:rPr>
        <w:t xml:space="preserve">su aree o terreni </w:t>
      </w:r>
      <w:r w:rsidR="004C722D" w:rsidRPr="00FB56FB">
        <w:rPr>
          <w:rFonts w:ascii="Garamond" w:hAnsi="Garamond"/>
          <w:color w:val="000000" w:themeColor="text1"/>
          <w:sz w:val="24"/>
          <w:szCs w:val="24"/>
        </w:rPr>
        <w:t>a loro volta</w:t>
      </w:r>
      <w:r w:rsidR="003B5D60" w:rsidRPr="00FB56FB">
        <w:rPr>
          <w:rFonts w:ascii="Garamond" w:hAnsi="Garamond"/>
          <w:color w:val="000000" w:themeColor="text1"/>
          <w:sz w:val="24"/>
          <w:szCs w:val="24"/>
        </w:rPr>
        <w:t xml:space="preserve"> oggetto di contenzioso giudiziario;</w:t>
      </w:r>
    </w:p>
    <w:p w:rsidR="00743B8C" w:rsidRPr="00FB56FB" w:rsidRDefault="001E20D9" w:rsidP="0095658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nei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casi</w:t>
      </w:r>
      <w:r w:rsidR="00743B8C" w:rsidRPr="00FB56FB">
        <w:rPr>
          <w:rFonts w:ascii="Garamond" w:hAnsi="Garamond"/>
          <w:color w:val="000000" w:themeColor="text1"/>
          <w:sz w:val="24"/>
          <w:szCs w:val="24"/>
        </w:rPr>
        <w:t xml:space="preserve"> di cui all’articolo 80 del d.lgs. 18 aprile 2016, n. 50</w:t>
      </w:r>
      <w:r w:rsidR="0033060F" w:rsidRPr="00FB56FB">
        <w:rPr>
          <w:rFonts w:ascii="Garamond" w:hAnsi="Garamond"/>
          <w:i/>
          <w:color w:val="000000" w:themeColor="text1"/>
          <w:sz w:val="24"/>
          <w:szCs w:val="24"/>
        </w:rPr>
        <w:t>;</w:t>
      </w:r>
    </w:p>
    <w:p w:rsidR="0033060F" w:rsidRPr="00FB56FB" w:rsidRDefault="0033060F" w:rsidP="0095658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non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siano cofinanziate </w:t>
      </w:r>
      <w:r w:rsidR="00BA6C82" w:rsidRPr="00FB56FB">
        <w:rPr>
          <w:rFonts w:ascii="Garamond" w:hAnsi="Garamond"/>
          <w:color w:val="000000" w:themeColor="text1"/>
          <w:sz w:val="24"/>
          <w:szCs w:val="24"/>
        </w:rPr>
        <w:t xml:space="preserve">in misura </w:t>
      </w:r>
      <w:r w:rsidRPr="00FB56FB">
        <w:rPr>
          <w:rFonts w:ascii="Garamond" w:hAnsi="Garamond"/>
          <w:color w:val="000000" w:themeColor="text1"/>
          <w:sz w:val="24"/>
          <w:szCs w:val="24"/>
        </w:rPr>
        <w:t>almeno pari al 25 per cento</w:t>
      </w:r>
      <w:r w:rsidR="002228F7" w:rsidRPr="00FB56FB">
        <w:rPr>
          <w:rFonts w:ascii="Garamond" w:hAnsi="Garamond"/>
          <w:color w:val="000000" w:themeColor="text1"/>
          <w:sz w:val="24"/>
          <w:szCs w:val="24"/>
        </w:rPr>
        <w:t>.</w:t>
      </w:r>
    </w:p>
    <w:p w:rsidR="00544CE0" w:rsidRPr="00FB56FB" w:rsidRDefault="00544CE0" w:rsidP="00B77A6A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B77A6A" w:rsidRPr="00FB56FB" w:rsidRDefault="000F6F60" w:rsidP="00B77A6A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(Art. 5</w:t>
      </w:r>
      <w:r w:rsidR="00B77A6A" w:rsidRPr="00FB56FB">
        <w:rPr>
          <w:rFonts w:ascii="Garamond" w:hAnsi="Garamond"/>
          <w:b/>
          <w:color w:val="000000" w:themeColor="text1"/>
          <w:sz w:val="24"/>
          <w:szCs w:val="24"/>
        </w:rPr>
        <w:t>)</w:t>
      </w:r>
    </w:p>
    <w:p w:rsidR="00B77A6A" w:rsidRPr="00FB56FB" w:rsidRDefault="00B77A6A" w:rsidP="00B77A6A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Casi di revoca del contributo</w:t>
      </w:r>
    </w:p>
    <w:p w:rsidR="00B77A6A" w:rsidRPr="00FB56FB" w:rsidRDefault="00B77A6A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77A6A" w:rsidRPr="00FB56FB" w:rsidRDefault="00293842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  </w:t>
      </w:r>
      <w:r w:rsidR="00743B8C" w:rsidRPr="00FB56FB">
        <w:rPr>
          <w:rFonts w:ascii="Garamond" w:hAnsi="Garamond"/>
          <w:color w:val="000000" w:themeColor="text1"/>
          <w:sz w:val="24"/>
          <w:szCs w:val="24"/>
        </w:rPr>
        <w:t>Il contributo è revocato e il beneficiario è obbligato a</w:t>
      </w:r>
      <w:r w:rsidR="00B77A6A" w:rsidRPr="00FB56FB">
        <w:rPr>
          <w:rFonts w:ascii="Garamond" w:hAnsi="Garamond"/>
          <w:color w:val="000000" w:themeColor="text1"/>
          <w:sz w:val="24"/>
          <w:szCs w:val="24"/>
        </w:rPr>
        <w:t>lla sua restituzione:</w:t>
      </w:r>
      <w:r w:rsidR="00743B8C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B77A6A" w:rsidRPr="00FB56FB" w:rsidRDefault="00B77A6A" w:rsidP="0095658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i</w:t>
      </w:r>
      <w:r w:rsidR="00743B8C" w:rsidRPr="00FB56FB">
        <w:rPr>
          <w:rFonts w:ascii="Garamond" w:hAnsi="Garamond"/>
          <w:color w:val="000000" w:themeColor="text1"/>
          <w:sz w:val="24"/>
          <w:szCs w:val="24"/>
        </w:rPr>
        <w:t>n</w:t>
      </w:r>
      <w:proofErr w:type="gramEnd"/>
      <w:r w:rsidR="00743B8C" w:rsidRPr="00FB56FB">
        <w:rPr>
          <w:rFonts w:ascii="Garamond" w:hAnsi="Garamond"/>
          <w:color w:val="000000" w:themeColor="text1"/>
          <w:sz w:val="24"/>
          <w:szCs w:val="24"/>
        </w:rPr>
        <w:t xml:space="preserve"> assenza</w:t>
      </w:r>
      <w:r w:rsidR="00944312" w:rsidRPr="00FB56FB">
        <w:rPr>
          <w:rFonts w:ascii="Garamond" w:hAnsi="Garamond"/>
          <w:color w:val="000000" w:themeColor="text1"/>
          <w:sz w:val="24"/>
          <w:szCs w:val="24"/>
        </w:rPr>
        <w:t>, mancato rilascio, revoca o annullamento</w:t>
      </w:r>
      <w:r w:rsidR="00743B8C" w:rsidRPr="00FB56FB">
        <w:rPr>
          <w:rFonts w:ascii="Garamond" w:hAnsi="Garamond"/>
          <w:color w:val="000000" w:themeColor="text1"/>
          <w:sz w:val="24"/>
          <w:szCs w:val="24"/>
        </w:rPr>
        <w:t xml:space="preserve"> del titolo abilitativo </w:t>
      </w:r>
      <w:r w:rsidRPr="00FB56FB">
        <w:rPr>
          <w:rFonts w:ascii="Garamond" w:hAnsi="Garamond"/>
          <w:color w:val="000000" w:themeColor="text1"/>
          <w:sz w:val="24"/>
          <w:szCs w:val="24"/>
        </w:rPr>
        <w:t>edilizio;</w:t>
      </w:r>
    </w:p>
    <w:p w:rsidR="00C4116C" w:rsidRPr="00FB56FB" w:rsidRDefault="00B77A6A" w:rsidP="0095658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q</w:t>
      </w:r>
      <w:r w:rsidR="00C4116C" w:rsidRPr="00FB56FB">
        <w:rPr>
          <w:rFonts w:ascii="Garamond" w:hAnsi="Garamond"/>
          <w:color w:val="000000" w:themeColor="text1"/>
          <w:sz w:val="24"/>
          <w:szCs w:val="24"/>
        </w:rPr>
        <w:t>ualora</w:t>
      </w:r>
      <w:proofErr w:type="gramEnd"/>
      <w:r w:rsidR="00C4116C" w:rsidRPr="00FB56FB">
        <w:rPr>
          <w:rFonts w:ascii="Garamond" w:hAnsi="Garamond"/>
          <w:color w:val="000000" w:themeColor="text1"/>
          <w:sz w:val="24"/>
          <w:szCs w:val="24"/>
        </w:rPr>
        <w:t xml:space="preserve"> l’intervento abbia a oggetto un impianto in regime di concessione amministrativa e questa venga </w:t>
      </w:r>
      <w:r w:rsidR="00743B8C" w:rsidRPr="00FB56FB">
        <w:rPr>
          <w:rFonts w:ascii="Garamond" w:hAnsi="Garamond"/>
          <w:color w:val="000000" w:themeColor="text1"/>
          <w:sz w:val="24"/>
          <w:szCs w:val="24"/>
        </w:rPr>
        <w:t>meno</w:t>
      </w:r>
      <w:r w:rsidR="00C4116C" w:rsidRPr="00FB56FB">
        <w:rPr>
          <w:rFonts w:ascii="Garamond" w:hAnsi="Garamond"/>
          <w:color w:val="000000" w:themeColor="text1"/>
          <w:sz w:val="24"/>
          <w:szCs w:val="24"/>
        </w:rPr>
        <w:t>, salva la possibilità di suben</w:t>
      </w:r>
      <w:r w:rsidRPr="00FB56FB">
        <w:rPr>
          <w:rFonts w:ascii="Garamond" w:hAnsi="Garamond"/>
          <w:color w:val="000000" w:themeColor="text1"/>
          <w:sz w:val="24"/>
          <w:szCs w:val="24"/>
        </w:rPr>
        <w:t>tro per il nuovo concessionario;</w:t>
      </w:r>
    </w:p>
    <w:p w:rsidR="001E20D9" w:rsidRPr="00FB56FB" w:rsidRDefault="001E20D9" w:rsidP="0095658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ove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sopravvengano i casi di esclusione di cui alle lettere a) e d) dell’articolo </w:t>
      </w:r>
      <w:r w:rsidR="00FB56FB" w:rsidRPr="00FB56FB">
        <w:rPr>
          <w:rFonts w:ascii="Garamond" w:hAnsi="Garamond"/>
          <w:color w:val="000000" w:themeColor="text1"/>
          <w:sz w:val="24"/>
          <w:szCs w:val="24"/>
        </w:rPr>
        <w:t>4</w:t>
      </w:r>
      <w:r w:rsidRPr="00FB56FB">
        <w:rPr>
          <w:rFonts w:ascii="Garamond" w:hAnsi="Garamond"/>
          <w:color w:val="000000" w:themeColor="text1"/>
          <w:sz w:val="24"/>
          <w:szCs w:val="24"/>
        </w:rPr>
        <w:t>.</w:t>
      </w:r>
    </w:p>
    <w:p w:rsidR="00B77A6A" w:rsidRPr="00FB56FB" w:rsidRDefault="00B77A6A" w:rsidP="0095658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FB56FB">
        <w:rPr>
          <w:rFonts w:ascii="Garamond" w:hAnsi="Garamond"/>
          <w:color w:val="000000" w:themeColor="text1"/>
          <w:sz w:val="24"/>
          <w:szCs w:val="24"/>
        </w:rPr>
        <w:t>in</w:t>
      </w:r>
      <w:proofErr w:type="gramEnd"/>
      <w:r w:rsidRPr="00FB56FB">
        <w:rPr>
          <w:rFonts w:ascii="Garamond" w:hAnsi="Garamond"/>
          <w:color w:val="000000" w:themeColor="text1"/>
          <w:sz w:val="24"/>
          <w:szCs w:val="24"/>
        </w:rPr>
        <w:t xml:space="preserve"> tutti gli altri casi di grave inadempimento.</w:t>
      </w:r>
    </w:p>
    <w:p w:rsidR="000F6F60" w:rsidRPr="00FB56FB" w:rsidRDefault="000F6F60" w:rsidP="000F6F60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F6F60" w:rsidRPr="00FB56FB" w:rsidRDefault="00293842" w:rsidP="000F6F60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2. </w:t>
      </w:r>
      <w:r w:rsidR="000F6F60" w:rsidRPr="00FB56FB">
        <w:rPr>
          <w:rFonts w:ascii="Garamond" w:hAnsi="Garamond"/>
          <w:color w:val="000000" w:themeColor="text1"/>
          <w:sz w:val="24"/>
          <w:szCs w:val="24"/>
        </w:rPr>
        <w:t xml:space="preserve">Le somme restituite ai sensi del comma </w:t>
      </w:r>
      <w:r>
        <w:rPr>
          <w:rFonts w:ascii="Garamond" w:hAnsi="Garamond"/>
          <w:color w:val="000000" w:themeColor="text1"/>
          <w:sz w:val="24"/>
          <w:szCs w:val="24"/>
        </w:rPr>
        <w:t>1</w:t>
      </w:r>
      <w:r w:rsidR="000F6F60" w:rsidRPr="00FB56FB">
        <w:rPr>
          <w:rFonts w:ascii="Garamond" w:hAnsi="Garamond"/>
          <w:color w:val="000000" w:themeColor="text1"/>
          <w:sz w:val="24"/>
          <w:szCs w:val="24"/>
        </w:rPr>
        <w:t xml:space="preserve"> sono versate nuovamente nel Fondo di cui all’articolo 1 del presente decreto.</w:t>
      </w:r>
    </w:p>
    <w:p w:rsidR="00743B8C" w:rsidRPr="00FB56FB" w:rsidRDefault="00743B8C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F3239" w:rsidRPr="00FB56FB" w:rsidRDefault="000F6F60" w:rsidP="00805392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(Art. 6</w:t>
      </w:r>
      <w:r w:rsidR="009F3239" w:rsidRPr="00FB56FB">
        <w:rPr>
          <w:rFonts w:ascii="Garamond" w:hAnsi="Garamond"/>
          <w:b/>
          <w:color w:val="000000" w:themeColor="text1"/>
          <w:sz w:val="24"/>
          <w:szCs w:val="24"/>
        </w:rPr>
        <w:t>)</w:t>
      </w:r>
    </w:p>
    <w:p w:rsidR="009F3239" w:rsidRPr="00FB56FB" w:rsidRDefault="009F3239" w:rsidP="00805392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Equa distribuzione delle risorse sul territorio nazionale</w:t>
      </w:r>
    </w:p>
    <w:p w:rsidR="009F3239" w:rsidRPr="00FB56FB" w:rsidRDefault="009F3239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A1EAF" w:rsidRPr="00FB56FB" w:rsidRDefault="00293842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 </w:t>
      </w:r>
      <w:r w:rsidR="007A1EAF" w:rsidRPr="00FB56FB">
        <w:rPr>
          <w:rFonts w:ascii="Garamond" w:hAnsi="Garamond"/>
          <w:color w:val="000000" w:themeColor="text1"/>
          <w:sz w:val="24"/>
          <w:szCs w:val="24"/>
        </w:rPr>
        <w:t xml:space="preserve">Il bando può fissare un importo massimo per ciascuna richiesta di </w:t>
      </w:r>
      <w:r w:rsidR="000F6F60" w:rsidRPr="00FB56FB">
        <w:rPr>
          <w:rFonts w:ascii="Garamond" w:hAnsi="Garamond"/>
          <w:color w:val="000000" w:themeColor="text1"/>
          <w:sz w:val="24"/>
          <w:szCs w:val="24"/>
        </w:rPr>
        <w:t>finanziamento</w:t>
      </w:r>
      <w:r w:rsidR="007A1EAF" w:rsidRPr="00FB56FB">
        <w:rPr>
          <w:rFonts w:ascii="Garamond" w:hAnsi="Garamond"/>
          <w:color w:val="000000" w:themeColor="text1"/>
          <w:sz w:val="24"/>
          <w:szCs w:val="24"/>
        </w:rPr>
        <w:t>.</w:t>
      </w:r>
    </w:p>
    <w:p w:rsidR="007A1EAF" w:rsidRPr="00FB56FB" w:rsidRDefault="007A1EAF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0425F" w:rsidRPr="00FB56FB" w:rsidRDefault="00293842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2. </w:t>
      </w:r>
      <w:r w:rsidR="00E67383" w:rsidRPr="00FB56FB">
        <w:rPr>
          <w:rFonts w:ascii="Garamond" w:hAnsi="Garamond"/>
          <w:color w:val="000000" w:themeColor="text1"/>
          <w:sz w:val="24"/>
          <w:szCs w:val="24"/>
        </w:rPr>
        <w:t xml:space="preserve">Al fine di </w:t>
      </w:r>
      <w:r w:rsidR="00A536F3" w:rsidRPr="00FB56FB">
        <w:rPr>
          <w:rFonts w:ascii="Garamond" w:hAnsi="Garamond"/>
          <w:color w:val="000000" w:themeColor="text1"/>
          <w:sz w:val="24"/>
          <w:szCs w:val="24"/>
        </w:rPr>
        <w:t xml:space="preserve">garantire </w:t>
      </w:r>
      <w:r w:rsidR="00E67383" w:rsidRPr="00FB56FB">
        <w:rPr>
          <w:rFonts w:ascii="Garamond" w:hAnsi="Garamond"/>
          <w:color w:val="000000" w:themeColor="text1"/>
          <w:sz w:val="24"/>
          <w:szCs w:val="24"/>
        </w:rPr>
        <w:t>un’equa distribuzione delle risorse</w:t>
      </w:r>
      <w:r w:rsidR="00A536F3" w:rsidRPr="00FB56FB">
        <w:rPr>
          <w:rFonts w:ascii="Garamond" w:hAnsi="Garamond"/>
          <w:color w:val="000000" w:themeColor="text1"/>
          <w:sz w:val="24"/>
          <w:szCs w:val="24"/>
        </w:rPr>
        <w:t xml:space="preserve"> sull’intero territorio nazionale</w:t>
      </w:r>
      <w:r w:rsidR="00E67383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536F3" w:rsidRPr="00FB56FB">
        <w:rPr>
          <w:rFonts w:ascii="Garamond" w:hAnsi="Garamond"/>
          <w:color w:val="000000" w:themeColor="text1"/>
          <w:sz w:val="24"/>
          <w:szCs w:val="24"/>
        </w:rPr>
        <w:t xml:space="preserve">le richieste </w:t>
      </w:r>
      <w:r w:rsidR="000F6F60" w:rsidRPr="00FB56FB">
        <w:rPr>
          <w:rFonts w:ascii="Garamond" w:hAnsi="Garamond"/>
          <w:color w:val="000000" w:themeColor="text1"/>
          <w:sz w:val="24"/>
          <w:szCs w:val="24"/>
        </w:rPr>
        <w:t xml:space="preserve">di finanziamento </w:t>
      </w:r>
      <w:r w:rsidR="00A536F3" w:rsidRPr="00FB56FB">
        <w:rPr>
          <w:rFonts w:ascii="Garamond" w:hAnsi="Garamond"/>
          <w:color w:val="000000" w:themeColor="text1"/>
          <w:sz w:val="24"/>
          <w:szCs w:val="24"/>
        </w:rPr>
        <w:t xml:space="preserve">aventi a oggetto impianti localizzati in una medesima regione </w:t>
      </w:r>
      <w:r w:rsidR="00704889" w:rsidRPr="00FB56FB">
        <w:rPr>
          <w:rFonts w:ascii="Garamond" w:hAnsi="Garamond"/>
          <w:color w:val="000000" w:themeColor="text1"/>
          <w:sz w:val="24"/>
          <w:szCs w:val="24"/>
        </w:rPr>
        <w:t xml:space="preserve">non </w:t>
      </w:r>
      <w:r w:rsidR="00A536F3" w:rsidRPr="00FB56FB">
        <w:rPr>
          <w:rFonts w:ascii="Garamond" w:hAnsi="Garamond"/>
          <w:color w:val="000000" w:themeColor="text1"/>
          <w:sz w:val="24"/>
          <w:szCs w:val="24"/>
        </w:rPr>
        <w:t xml:space="preserve">possono </w:t>
      </w:r>
      <w:r w:rsidR="00520DF8" w:rsidRPr="00FB56FB">
        <w:rPr>
          <w:rFonts w:ascii="Garamond" w:hAnsi="Garamond"/>
          <w:color w:val="000000" w:themeColor="text1"/>
          <w:sz w:val="24"/>
          <w:szCs w:val="24"/>
        </w:rPr>
        <w:t xml:space="preserve">gravare sul fondo per </w:t>
      </w:r>
      <w:r w:rsidR="00704889" w:rsidRPr="00FB56FB">
        <w:rPr>
          <w:rFonts w:ascii="Garamond" w:hAnsi="Garamond"/>
          <w:color w:val="000000" w:themeColor="text1"/>
          <w:sz w:val="24"/>
          <w:szCs w:val="24"/>
        </w:rPr>
        <w:t>importi</w:t>
      </w:r>
      <w:r w:rsidR="00E67383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04889" w:rsidRPr="00FB56FB">
        <w:rPr>
          <w:rFonts w:ascii="Garamond" w:hAnsi="Garamond"/>
          <w:color w:val="000000" w:themeColor="text1"/>
          <w:sz w:val="24"/>
          <w:szCs w:val="24"/>
        </w:rPr>
        <w:t>cumulativamente superiori</w:t>
      </w:r>
      <w:r w:rsidR="00E67383" w:rsidRPr="00FB56FB">
        <w:rPr>
          <w:rFonts w:ascii="Garamond" w:hAnsi="Garamond"/>
          <w:color w:val="000000" w:themeColor="text1"/>
          <w:sz w:val="24"/>
          <w:szCs w:val="24"/>
        </w:rPr>
        <w:t xml:space="preserve"> al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 xml:space="preserve"> 10</w:t>
      </w:r>
      <w:r w:rsidR="00AE3988" w:rsidRPr="00FB56FB">
        <w:rPr>
          <w:rFonts w:ascii="Garamond" w:hAnsi="Garamond"/>
          <w:color w:val="000000" w:themeColor="text1"/>
          <w:sz w:val="24"/>
          <w:szCs w:val="24"/>
        </w:rPr>
        <w:t xml:space="preserve"> per cento</w:t>
      </w:r>
      <w:r w:rsidR="00A11272" w:rsidRPr="00FB56FB">
        <w:rPr>
          <w:rFonts w:ascii="Garamond" w:hAnsi="Garamond"/>
          <w:color w:val="000000" w:themeColor="text1"/>
          <w:sz w:val="24"/>
          <w:szCs w:val="24"/>
        </w:rPr>
        <w:t xml:space="preserve"> della</w:t>
      </w:r>
      <w:r w:rsidR="00704889" w:rsidRPr="00FB56FB">
        <w:rPr>
          <w:rFonts w:ascii="Garamond" w:hAnsi="Garamond"/>
          <w:color w:val="000000" w:themeColor="text1"/>
          <w:sz w:val="24"/>
          <w:szCs w:val="24"/>
        </w:rPr>
        <w:t xml:space="preserve"> sua</w:t>
      </w:r>
      <w:r w:rsidR="00A11272" w:rsidRPr="00FB56FB">
        <w:rPr>
          <w:rFonts w:ascii="Garamond" w:hAnsi="Garamond"/>
          <w:color w:val="000000" w:themeColor="text1"/>
          <w:sz w:val="24"/>
          <w:szCs w:val="24"/>
        </w:rPr>
        <w:t xml:space="preserve"> capienza. </w:t>
      </w:r>
      <w:r w:rsidR="00035432" w:rsidRPr="00FB56FB">
        <w:rPr>
          <w:rFonts w:ascii="Garamond" w:hAnsi="Garamond"/>
          <w:color w:val="000000" w:themeColor="text1"/>
          <w:sz w:val="24"/>
          <w:szCs w:val="24"/>
        </w:rPr>
        <w:t xml:space="preserve">Qualora </w:t>
      </w:r>
      <w:r w:rsidR="001A0B19" w:rsidRPr="00FB56FB">
        <w:rPr>
          <w:rFonts w:ascii="Garamond" w:hAnsi="Garamond"/>
          <w:color w:val="000000" w:themeColor="text1"/>
          <w:sz w:val="24"/>
          <w:szCs w:val="24"/>
        </w:rPr>
        <w:t xml:space="preserve">l’ammontare complessivo delle richieste di </w:t>
      </w:r>
      <w:r w:rsidR="000F6F60" w:rsidRPr="00FB56FB">
        <w:rPr>
          <w:rFonts w:ascii="Garamond" w:hAnsi="Garamond"/>
          <w:color w:val="000000" w:themeColor="text1"/>
          <w:sz w:val="24"/>
          <w:szCs w:val="24"/>
        </w:rPr>
        <w:t>finanziamento</w:t>
      </w:r>
      <w:r w:rsidR="001A0B19" w:rsidRPr="00FB56FB">
        <w:rPr>
          <w:rFonts w:ascii="Garamond" w:hAnsi="Garamond"/>
          <w:color w:val="000000" w:themeColor="text1"/>
          <w:sz w:val="24"/>
          <w:szCs w:val="24"/>
        </w:rPr>
        <w:t xml:space="preserve"> ammesse non esaurisca la capacità totale del fondo</w:t>
      </w:r>
      <w:r w:rsidR="00035432" w:rsidRPr="00FB56F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1A0B19" w:rsidRPr="00FB56FB">
        <w:rPr>
          <w:rFonts w:ascii="Garamond" w:hAnsi="Garamond"/>
          <w:color w:val="000000" w:themeColor="text1"/>
          <w:sz w:val="24"/>
          <w:szCs w:val="24"/>
        </w:rPr>
        <w:t>tale</w:t>
      </w:r>
      <w:r w:rsidR="00035432" w:rsidRPr="00FB56FB">
        <w:rPr>
          <w:rFonts w:ascii="Garamond" w:hAnsi="Garamond"/>
          <w:color w:val="000000" w:themeColor="text1"/>
          <w:sz w:val="24"/>
          <w:szCs w:val="24"/>
        </w:rPr>
        <w:t xml:space="preserve"> p</w:t>
      </w:r>
      <w:r w:rsidR="00A11272" w:rsidRPr="00FB56FB">
        <w:rPr>
          <w:rFonts w:ascii="Garamond" w:hAnsi="Garamond"/>
          <w:color w:val="000000" w:themeColor="text1"/>
          <w:sz w:val="24"/>
          <w:szCs w:val="24"/>
        </w:rPr>
        <w:t xml:space="preserve">ercentuale </w:t>
      </w:r>
      <w:r w:rsidR="00704889" w:rsidRPr="00FB56FB">
        <w:rPr>
          <w:rFonts w:ascii="Garamond" w:hAnsi="Garamond"/>
          <w:color w:val="000000" w:themeColor="text1"/>
          <w:sz w:val="24"/>
          <w:szCs w:val="24"/>
        </w:rPr>
        <w:t>è innalzata s</w:t>
      </w:r>
      <w:r w:rsidR="00A11272" w:rsidRPr="00FB56FB">
        <w:rPr>
          <w:rFonts w:ascii="Garamond" w:hAnsi="Garamond"/>
          <w:color w:val="000000" w:themeColor="text1"/>
          <w:sz w:val="24"/>
          <w:szCs w:val="24"/>
        </w:rPr>
        <w:t xml:space="preserve">ino </w:t>
      </w:r>
      <w:r w:rsidR="000C2E92" w:rsidRPr="00FB56FB">
        <w:rPr>
          <w:rFonts w:ascii="Garamond" w:hAnsi="Garamond"/>
          <w:color w:val="000000" w:themeColor="text1"/>
          <w:sz w:val="24"/>
          <w:szCs w:val="24"/>
        </w:rPr>
        <w:t>a concorrenza</w:t>
      </w:r>
      <w:r w:rsidR="00035432" w:rsidRPr="00FB56FB">
        <w:rPr>
          <w:rFonts w:ascii="Garamond" w:hAnsi="Garamond"/>
          <w:color w:val="000000" w:themeColor="text1"/>
          <w:sz w:val="24"/>
          <w:szCs w:val="24"/>
        </w:rPr>
        <w:t xml:space="preserve"> delle somme </w:t>
      </w:r>
      <w:r w:rsidR="001A0B19" w:rsidRPr="00FB56FB">
        <w:rPr>
          <w:rFonts w:ascii="Garamond" w:hAnsi="Garamond"/>
          <w:color w:val="000000" w:themeColor="text1"/>
          <w:sz w:val="24"/>
          <w:szCs w:val="24"/>
        </w:rPr>
        <w:t xml:space="preserve">rimaste </w:t>
      </w:r>
      <w:r w:rsidR="00035432" w:rsidRPr="00FB56FB">
        <w:rPr>
          <w:rFonts w:ascii="Garamond" w:hAnsi="Garamond"/>
          <w:color w:val="000000" w:themeColor="text1"/>
          <w:sz w:val="24"/>
          <w:szCs w:val="24"/>
        </w:rPr>
        <w:t>disponibili</w:t>
      </w:r>
      <w:r w:rsidR="001A0B19" w:rsidRPr="00FB56FB">
        <w:rPr>
          <w:rFonts w:ascii="Garamond" w:hAnsi="Garamond"/>
          <w:color w:val="000000" w:themeColor="text1"/>
          <w:sz w:val="24"/>
          <w:szCs w:val="24"/>
        </w:rPr>
        <w:t>.</w:t>
      </w:r>
      <w:r w:rsidR="008C5968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806C3" w:rsidRPr="00FB56FB">
        <w:rPr>
          <w:rFonts w:ascii="Garamond" w:hAnsi="Garamond"/>
          <w:color w:val="000000" w:themeColor="text1"/>
          <w:sz w:val="24"/>
          <w:szCs w:val="24"/>
        </w:rPr>
        <w:t>In caso di superamento del limite</w:t>
      </w:r>
      <w:r w:rsidR="00A11272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806C3" w:rsidRPr="00FB56FB">
        <w:rPr>
          <w:rFonts w:ascii="Garamond" w:hAnsi="Garamond"/>
          <w:color w:val="000000" w:themeColor="text1"/>
          <w:sz w:val="24"/>
          <w:szCs w:val="24"/>
        </w:rPr>
        <w:t>le richieste</w:t>
      </w:r>
      <w:r w:rsidR="00A536F3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F6F60" w:rsidRPr="00FB56FB">
        <w:rPr>
          <w:rFonts w:ascii="Garamond" w:hAnsi="Garamond"/>
          <w:color w:val="000000" w:themeColor="text1"/>
          <w:sz w:val="24"/>
          <w:szCs w:val="24"/>
        </w:rPr>
        <w:t xml:space="preserve">di finanziamento </w:t>
      </w:r>
      <w:r w:rsidR="006D55B1" w:rsidRPr="00FB56FB">
        <w:rPr>
          <w:rFonts w:ascii="Garamond" w:hAnsi="Garamond"/>
          <w:color w:val="000000" w:themeColor="text1"/>
          <w:sz w:val="24"/>
          <w:szCs w:val="24"/>
        </w:rPr>
        <w:t xml:space="preserve">aventi a oggetto impianti localizzati in una medesima regione </w:t>
      </w:r>
      <w:r w:rsidR="008C5968" w:rsidRPr="00FB56FB">
        <w:rPr>
          <w:rFonts w:ascii="Garamond" w:hAnsi="Garamond"/>
          <w:color w:val="000000" w:themeColor="text1"/>
          <w:sz w:val="24"/>
          <w:szCs w:val="24"/>
        </w:rPr>
        <w:t>sono soddisfatte</w:t>
      </w:r>
      <w:r w:rsidR="008806C3" w:rsidRPr="00FB56FB">
        <w:rPr>
          <w:rFonts w:ascii="Garamond" w:hAnsi="Garamond"/>
          <w:color w:val="000000" w:themeColor="text1"/>
          <w:sz w:val="24"/>
          <w:szCs w:val="24"/>
        </w:rPr>
        <w:t xml:space="preserve"> in ordine di</w:t>
      </w:r>
      <w:r w:rsidR="00A536F3" w:rsidRPr="00FB56FB">
        <w:rPr>
          <w:rFonts w:ascii="Garamond" w:hAnsi="Garamond"/>
          <w:color w:val="000000" w:themeColor="text1"/>
          <w:sz w:val="24"/>
          <w:szCs w:val="24"/>
        </w:rPr>
        <w:t xml:space="preserve"> graduatoria</w:t>
      </w:r>
      <w:r w:rsidR="00AE3988" w:rsidRPr="00FB56FB">
        <w:rPr>
          <w:rFonts w:ascii="Garamond" w:hAnsi="Garamond"/>
          <w:color w:val="000000" w:themeColor="text1"/>
          <w:sz w:val="24"/>
          <w:szCs w:val="24"/>
        </w:rPr>
        <w:t>.</w:t>
      </w:r>
    </w:p>
    <w:p w:rsidR="00293842" w:rsidRDefault="00293842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641D5" w:rsidRPr="00FB56FB" w:rsidRDefault="00293842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3. </w:t>
      </w:r>
      <w:r w:rsidR="0060425F" w:rsidRPr="00FB56FB">
        <w:rPr>
          <w:rFonts w:ascii="Garamond" w:hAnsi="Garamond"/>
          <w:color w:val="000000" w:themeColor="text1"/>
          <w:sz w:val="24"/>
          <w:szCs w:val="24"/>
        </w:rPr>
        <w:t xml:space="preserve">La graduatoria </w:t>
      </w:r>
      <w:r w:rsidR="00DA5E3D" w:rsidRPr="00FB56FB">
        <w:rPr>
          <w:rFonts w:ascii="Garamond" w:hAnsi="Garamond"/>
          <w:color w:val="000000" w:themeColor="text1"/>
          <w:sz w:val="24"/>
          <w:szCs w:val="24"/>
        </w:rPr>
        <w:t>di cui all</w:t>
      </w:r>
      <w:r w:rsidR="0060425F" w:rsidRPr="00FB56FB">
        <w:rPr>
          <w:rFonts w:ascii="Garamond" w:hAnsi="Garamond"/>
          <w:color w:val="000000" w:themeColor="text1"/>
          <w:sz w:val="24"/>
          <w:szCs w:val="24"/>
        </w:rPr>
        <w:t xml:space="preserve">’articolo 2, comma </w:t>
      </w:r>
      <w:r w:rsidR="00FB56FB" w:rsidRPr="00FB56FB">
        <w:rPr>
          <w:rFonts w:ascii="Garamond" w:hAnsi="Garamond"/>
          <w:color w:val="000000" w:themeColor="text1"/>
          <w:sz w:val="24"/>
          <w:szCs w:val="24"/>
        </w:rPr>
        <w:t xml:space="preserve">2, </w:t>
      </w:r>
      <w:r w:rsidR="0060425F" w:rsidRPr="00FB56FB">
        <w:rPr>
          <w:rFonts w:ascii="Garamond" w:hAnsi="Garamond"/>
          <w:color w:val="000000" w:themeColor="text1"/>
          <w:sz w:val="24"/>
          <w:szCs w:val="24"/>
        </w:rPr>
        <w:t xml:space="preserve">del presente decreto è sottoposta </w:t>
      </w:r>
      <w:r w:rsidR="00A30C96" w:rsidRPr="00FB56FB">
        <w:rPr>
          <w:rFonts w:ascii="Garamond" w:hAnsi="Garamond"/>
          <w:color w:val="000000" w:themeColor="text1"/>
          <w:sz w:val="24"/>
          <w:szCs w:val="24"/>
        </w:rPr>
        <w:t>al parere</w:t>
      </w:r>
      <w:r w:rsidR="0060425F" w:rsidRPr="00FB56FB">
        <w:rPr>
          <w:rFonts w:ascii="Garamond" w:hAnsi="Garamond"/>
          <w:color w:val="000000" w:themeColor="text1"/>
          <w:sz w:val="24"/>
          <w:szCs w:val="24"/>
        </w:rPr>
        <w:t xml:space="preserve"> della Conferenza Unificata ai sensi dell’articolo 9, comma 3</w:t>
      </w:r>
      <w:r w:rsidR="00FB56FB" w:rsidRPr="00FB56FB">
        <w:rPr>
          <w:rFonts w:ascii="Garamond" w:hAnsi="Garamond"/>
          <w:color w:val="000000" w:themeColor="text1"/>
          <w:sz w:val="24"/>
          <w:szCs w:val="24"/>
        </w:rPr>
        <w:t>,</w:t>
      </w:r>
      <w:r w:rsidR="0060425F" w:rsidRPr="00FB56FB">
        <w:rPr>
          <w:rFonts w:ascii="Garamond" w:hAnsi="Garamond"/>
          <w:color w:val="000000" w:themeColor="text1"/>
          <w:sz w:val="24"/>
          <w:szCs w:val="24"/>
        </w:rPr>
        <w:t xml:space="preserve"> del decreto legislativo 28 agosto 1997, n. 281</w:t>
      </w:r>
      <w:r w:rsidR="00A30C96" w:rsidRPr="00FB56FB">
        <w:rPr>
          <w:rFonts w:ascii="Garamond" w:hAnsi="Garamond"/>
          <w:color w:val="000000" w:themeColor="text1"/>
          <w:sz w:val="24"/>
          <w:szCs w:val="24"/>
        </w:rPr>
        <w:t>.</w:t>
      </w:r>
    </w:p>
    <w:p w:rsidR="002228F7" w:rsidRPr="00FB56FB" w:rsidRDefault="002228F7" w:rsidP="00805392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4661CD" w:rsidRPr="00FB56FB" w:rsidRDefault="00C37479" w:rsidP="00805392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(Art. 7</w:t>
      </w:r>
      <w:r w:rsidR="004661CD" w:rsidRPr="00FB56FB">
        <w:rPr>
          <w:rFonts w:ascii="Garamond" w:hAnsi="Garamond"/>
          <w:b/>
          <w:color w:val="000000" w:themeColor="text1"/>
          <w:sz w:val="24"/>
          <w:szCs w:val="24"/>
        </w:rPr>
        <w:t>)</w:t>
      </w:r>
    </w:p>
    <w:p w:rsidR="004661CD" w:rsidRPr="00FB56FB" w:rsidRDefault="004661CD" w:rsidP="00805392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 xml:space="preserve">Modalità di </w:t>
      </w:r>
      <w:r w:rsidR="00E55D2B" w:rsidRPr="00FB56FB">
        <w:rPr>
          <w:rFonts w:ascii="Garamond" w:hAnsi="Garamond"/>
          <w:b/>
          <w:color w:val="000000" w:themeColor="text1"/>
          <w:sz w:val="24"/>
          <w:szCs w:val="24"/>
        </w:rPr>
        <w:t>gestione</w:t>
      </w:r>
      <w:r w:rsidRPr="00FB56FB">
        <w:rPr>
          <w:rFonts w:ascii="Garamond" w:hAnsi="Garamond"/>
          <w:b/>
          <w:color w:val="000000" w:themeColor="text1"/>
          <w:sz w:val="24"/>
          <w:szCs w:val="24"/>
        </w:rPr>
        <w:t xml:space="preserve"> dei residui</w:t>
      </w:r>
    </w:p>
    <w:p w:rsidR="004661CD" w:rsidRPr="00FB56FB" w:rsidRDefault="004661CD" w:rsidP="00805392">
      <w:pPr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4661CD" w:rsidRPr="00FB56FB" w:rsidRDefault="00293842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 </w:t>
      </w:r>
      <w:r w:rsidR="0041739E" w:rsidRPr="00FB56FB">
        <w:rPr>
          <w:rFonts w:ascii="Garamond" w:hAnsi="Garamond"/>
          <w:color w:val="000000" w:themeColor="text1"/>
          <w:sz w:val="24"/>
          <w:szCs w:val="24"/>
        </w:rPr>
        <w:t xml:space="preserve">Le somme non assegnate all’esito dello scorrimento della graduatoria restano nel fondo e si cumulano a quelle previste per l’anno successivo. </w:t>
      </w:r>
    </w:p>
    <w:p w:rsidR="008821A7" w:rsidRPr="00FB56FB" w:rsidRDefault="008821A7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821A7" w:rsidRPr="00FB56FB" w:rsidRDefault="00C37479" w:rsidP="008821A7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(Art. 8</w:t>
      </w:r>
      <w:r w:rsidR="008821A7" w:rsidRPr="00FB56FB">
        <w:rPr>
          <w:rFonts w:ascii="Garamond" w:hAnsi="Garamond"/>
          <w:b/>
          <w:color w:val="000000" w:themeColor="text1"/>
          <w:sz w:val="24"/>
          <w:szCs w:val="24"/>
        </w:rPr>
        <w:t>)</w:t>
      </w:r>
    </w:p>
    <w:p w:rsidR="008821A7" w:rsidRPr="00FB56FB" w:rsidRDefault="008821A7" w:rsidP="008821A7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>Attività di supporto</w:t>
      </w:r>
    </w:p>
    <w:p w:rsidR="008821A7" w:rsidRPr="00FB56FB" w:rsidRDefault="008821A7" w:rsidP="0080539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3962DD" w:rsidRPr="00FB56FB" w:rsidRDefault="00293842" w:rsidP="00482DD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 </w:t>
      </w:r>
      <w:r w:rsidR="00482DD5" w:rsidRPr="00FB56FB">
        <w:rPr>
          <w:rFonts w:ascii="Garamond" w:hAnsi="Garamond"/>
          <w:color w:val="000000" w:themeColor="text1"/>
          <w:sz w:val="24"/>
          <w:szCs w:val="24"/>
        </w:rPr>
        <w:t xml:space="preserve">Nell’ambito </w:t>
      </w:r>
      <w:r w:rsidR="00681C6E" w:rsidRPr="00FB56FB">
        <w:rPr>
          <w:rFonts w:ascii="Garamond" w:hAnsi="Garamond"/>
          <w:color w:val="000000" w:themeColor="text1"/>
          <w:sz w:val="24"/>
          <w:szCs w:val="24"/>
        </w:rPr>
        <w:t>delle risorse</w:t>
      </w:r>
      <w:r w:rsidR="00482DD5" w:rsidRPr="00FB56FB">
        <w:rPr>
          <w:rFonts w:ascii="Garamond" w:hAnsi="Garamond"/>
          <w:color w:val="000000" w:themeColor="text1"/>
          <w:sz w:val="24"/>
          <w:szCs w:val="24"/>
        </w:rPr>
        <w:t xml:space="preserve"> di cui all’articolo</w:t>
      </w:r>
      <w:r w:rsidR="00242EDD" w:rsidRPr="00FB56FB">
        <w:rPr>
          <w:rFonts w:ascii="Garamond" w:hAnsi="Garamond"/>
          <w:color w:val="000000" w:themeColor="text1"/>
          <w:sz w:val="24"/>
          <w:szCs w:val="24"/>
        </w:rPr>
        <w:t xml:space="preserve"> 1, una quota non superiore al 2</w:t>
      </w:r>
      <w:r w:rsidR="00482DD5" w:rsidRPr="00FB56FB">
        <w:rPr>
          <w:rFonts w:ascii="Garamond" w:hAnsi="Garamond"/>
          <w:color w:val="000000" w:themeColor="text1"/>
          <w:sz w:val="24"/>
          <w:szCs w:val="24"/>
        </w:rPr>
        <w:t xml:space="preserve"> per cento può essere utilizzata</w:t>
      </w:r>
      <w:r w:rsidR="00681C6E" w:rsidRPr="00FB56FB">
        <w:rPr>
          <w:rFonts w:ascii="Garamond" w:hAnsi="Garamond"/>
          <w:color w:val="000000" w:themeColor="text1"/>
          <w:sz w:val="24"/>
          <w:szCs w:val="24"/>
        </w:rPr>
        <w:t xml:space="preserve"> dall’Ufficio per lo sport</w:t>
      </w:r>
      <w:r w:rsidR="00CD66FA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82DD5" w:rsidRPr="00FB56FB">
        <w:rPr>
          <w:rFonts w:ascii="Garamond" w:hAnsi="Garamond"/>
          <w:color w:val="000000" w:themeColor="text1"/>
          <w:sz w:val="24"/>
          <w:szCs w:val="24"/>
        </w:rPr>
        <w:t>presso la Presidenza del Consiglio dei ministri per le spese concernenti le attività di supporto strettamente necessarie all’attuazione del medesimo intervento.</w:t>
      </w:r>
      <w:r w:rsidR="003962DD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293842" w:rsidRDefault="00293842" w:rsidP="00482DD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81C6E" w:rsidRPr="00FB56FB" w:rsidRDefault="00293842" w:rsidP="00482DD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2. </w:t>
      </w:r>
      <w:r w:rsidR="003962DD" w:rsidRPr="00FB56FB">
        <w:rPr>
          <w:rFonts w:ascii="Garamond" w:hAnsi="Garamond"/>
          <w:color w:val="000000" w:themeColor="text1"/>
          <w:sz w:val="24"/>
          <w:szCs w:val="24"/>
        </w:rPr>
        <w:t xml:space="preserve">Per </w:t>
      </w:r>
      <w:r w:rsidR="00681C6E" w:rsidRPr="00FB56FB">
        <w:rPr>
          <w:rFonts w:ascii="Garamond" w:hAnsi="Garamond"/>
          <w:color w:val="000000" w:themeColor="text1"/>
          <w:sz w:val="24"/>
          <w:szCs w:val="24"/>
        </w:rPr>
        <w:t>le attività necessarie all’attuazione del presente decreto</w:t>
      </w:r>
      <w:r w:rsidR="003962DD" w:rsidRPr="00FB56FB">
        <w:rPr>
          <w:rFonts w:ascii="Garamond" w:hAnsi="Garamond"/>
          <w:color w:val="000000" w:themeColor="text1"/>
          <w:sz w:val="24"/>
          <w:szCs w:val="24"/>
        </w:rPr>
        <w:t>,</w:t>
      </w:r>
      <w:r w:rsidR="00681C6E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gramStart"/>
      <w:r w:rsidR="00681C6E" w:rsidRPr="00FB56FB">
        <w:rPr>
          <w:rFonts w:ascii="Garamond" w:hAnsi="Garamond"/>
          <w:color w:val="000000" w:themeColor="text1"/>
          <w:sz w:val="24"/>
          <w:szCs w:val="24"/>
        </w:rPr>
        <w:t xml:space="preserve">l’Ufficio </w:t>
      </w:r>
      <w:r w:rsidR="003962DD" w:rsidRPr="00FB56FB">
        <w:rPr>
          <w:rFonts w:ascii="Garamond" w:hAnsi="Garamond"/>
          <w:color w:val="000000" w:themeColor="text1"/>
          <w:sz w:val="24"/>
          <w:szCs w:val="24"/>
        </w:rPr>
        <w:t xml:space="preserve"> per</w:t>
      </w:r>
      <w:proofErr w:type="gramEnd"/>
      <w:r w:rsidR="003962DD" w:rsidRPr="00FB56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81C6E" w:rsidRPr="00FB56FB">
        <w:rPr>
          <w:rFonts w:ascii="Garamond" w:hAnsi="Garamond"/>
          <w:color w:val="000000" w:themeColor="text1"/>
          <w:sz w:val="24"/>
          <w:szCs w:val="24"/>
        </w:rPr>
        <w:t>lo Sport potrà avvalersi della Struttura di missione per gli anniversari di interesse nazionale e per la promozione di eventi sportivi di rilevanza nazionale ed internazionale.</w:t>
      </w:r>
    </w:p>
    <w:p w:rsidR="001872AC" w:rsidRDefault="001872AC" w:rsidP="00482DD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93842" w:rsidRDefault="00293842" w:rsidP="00293842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B56FB">
        <w:rPr>
          <w:rFonts w:ascii="Garamond" w:hAnsi="Garamond"/>
          <w:b/>
          <w:color w:val="000000" w:themeColor="text1"/>
          <w:sz w:val="24"/>
          <w:szCs w:val="24"/>
        </w:rPr>
        <w:t xml:space="preserve">(Art. </w:t>
      </w:r>
      <w:r>
        <w:rPr>
          <w:rFonts w:ascii="Garamond" w:hAnsi="Garamond"/>
          <w:b/>
          <w:color w:val="000000" w:themeColor="text1"/>
          <w:sz w:val="24"/>
          <w:szCs w:val="24"/>
        </w:rPr>
        <w:t>9</w:t>
      </w:r>
      <w:r w:rsidRPr="00FB56FB">
        <w:rPr>
          <w:rFonts w:ascii="Garamond" w:hAnsi="Garamond"/>
          <w:b/>
          <w:color w:val="000000" w:themeColor="text1"/>
          <w:sz w:val="24"/>
          <w:szCs w:val="24"/>
        </w:rPr>
        <w:t>)</w:t>
      </w:r>
    </w:p>
    <w:p w:rsidR="00293842" w:rsidRPr="00FB56FB" w:rsidRDefault="00293842" w:rsidP="00293842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Norma finale</w:t>
      </w:r>
    </w:p>
    <w:p w:rsidR="00293842" w:rsidRPr="00FB56FB" w:rsidRDefault="00293842" w:rsidP="00482DD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872AC" w:rsidRPr="00FB56FB" w:rsidRDefault="00293842" w:rsidP="001872AC">
      <w:pPr>
        <w:tabs>
          <w:tab w:val="left" w:pos="2160"/>
          <w:tab w:val="left" w:pos="10206"/>
        </w:tabs>
        <w:spacing w:after="0" w:line="240" w:lineRule="auto"/>
        <w:ind w:right="-1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 </w:t>
      </w:r>
      <w:r w:rsidR="001872AC" w:rsidRPr="00FB56FB">
        <w:rPr>
          <w:rFonts w:ascii="Garamond" w:hAnsi="Garamond"/>
          <w:color w:val="000000" w:themeColor="text1"/>
          <w:sz w:val="24"/>
          <w:szCs w:val="24"/>
        </w:rPr>
        <w:t>Il presente decreto sostituisce il decreto del Presidente del Consiglio dei Ministri del 4 maggio 2018 registrato alla Corte dei Conti il 21 giugno 2018 reg. n. 1383.</w:t>
      </w:r>
    </w:p>
    <w:p w:rsidR="00A27F5C" w:rsidRPr="00FB56FB" w:rsidRDefault="00A27F5C" w:rsidP="001872AC">
      <w:pPr>
        <w:tabs>
          <w:tab w:val="left" w:pos="2160"/>
          <w:tab w:val="left" w:pos="10206"/>
        </w:tabs>
        <w:spacing w:after="0" w:line="240" w:lineRule="auto"/>
        <w:ind w:right="-1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:rsidR="00FB56FB" w:rsidRPr="00FB56FB" w:rsidRDefault="00293842" w:rsidP="00FB56FB">
      <w:pPr>
        <w:jc w:val="both"/>
        <w:rPr>
          <w:rFonts w:ascii="Garamond" w:hAnsi="Garamond"/>
          <w:spacing w:val="10"/>
          <w:sz w:val="24"/>
          <w:szCs w:val="24"/>
        </w:rPr>
      </w:pPr>
      <w:r>
        <w:rPr>
          <w:rFonts w:ascii="Garamond" w:hAnsi="Garamond"/>
          <w:spacing w:val="10"/>
          <w:sz w:val="24"/>
          <w:szCs w:val="24"/>
        </w:rPr>
        <w:t xml:space="preserve">2. </w:t>
      </w:r>
      <w:r w:rsidR="00FB56FB" w:rsidRPr="00FB56FB">
        <w:rPr>
          <w:rFonts w:ascii="Garamond" w:hAnsi="Garamond"/>
          <w:spacing w:val="10"/>
          <w:sz w:val="24"/>
          <w:szCs w:val="24"/>
        </w:rPr>
        <w:t xml:space="preserve">Il presente decreto </w:t>
      </w:r>
      <w:proofErr w:type="gramStart"/>
      <w:r w:rsidR="00FB56FB" w:rsidRPr="00FB56FB">
        <w:rPr>
          <w:rFonts w:ascii="Garamond" w:hAnsi="Garamond"/>
          <w:spacing w:val="10"/>
          <w:sz w:val="24"/>
          <w:szCs w:val="24"/>
        </w:rPr>
        <w:t>sarà  trasmesso</w:t>
      </w:r>
      <w:proofErr w:type="gramEnd"/>
      <w:r w:rsidR="00FB56FB" w:rsidRPr="00FB56FB">
        <w:rPr>
          <w:rFonts w:ascii="Garamond" w:hAnsi="Garamond"/>
          <w:spacing w:val="10"/>
          <w:sz w:val="24"/>
          <w:szCs w:val="24"/>
        </w:rPr>
        <w:t xml:space="preserve"> per gli adempimenti di competenza ai competenti organi di controllo.</w:t>
      </w:r>
    </w:p>
    <w:p w:rsidR="00FB56FB" w:rsidRPr="00FB56FB" w:rsidRDefault="00A77711" w:rsidP="001872AC">
      <w:pPr>
        <w:tabs>
          <w:tab w:val="left" w:pos="2160"/>
          <w:tab w:val="left" w:pos="10206"/>
        </w:tabs>
        <w:spacing w:after="0" w:line="240" w:lineRule="auto"/>
        <w:ind w:right="-1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Roma, 31 ottobre 2018</w:t>
      </w:r>
    </w:p>
    <w:p w:rsidR="00A27F5C" w:rsidRPr="00FB56FB" w:rsidRDefault="00A27F5C" w:rsidP="00B4595A">
      <w:pPr>
        <w:rPr>
          <w:rFonts w:ascii="Garamond" w:hAnsi="Garamond"/>
          <w:color w:val="000000" w:themeColor="text1"/>
          <w:sz w:val="24"/>
          <w:szCs w:val="24"/>
        </w:rPr>
      </w:pPr>
    </w:p>
    <w:p w:rsidR="00544CE0" w:rsidRPr="00FB56FB" w:rsidRDefault="00544CE0" w:rsidP="00544CE0">
      <w:pPr>
        <w:tabs>
          <w:tab w:val="left" w:pos="2160"/>
          <w:tab w:val="left" w:pos="10206"/>
        </w:tabs>
        <w:spacing w:after="0" w:line="240" w:lineRule="auto"/>
        <w:ind w:right="-1"/>
        <w:contextualSpacing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A27F5C" w:rsidRPr="00FB56FB" w:rsidTr="0095658C">
        <w:tc>
          <w:tcPr>
            <w:tcW w:w="5168" w:type="dxa"/>
          </w:tcPr>
          <w:p w:rsidR="00A27F5C" w:rsidRPr="00FB56FB" w:rsidRDefault="00A27F5C" w:rsidP="0095658C">
            <w:pPr>
              <w:tabs>
                <w:tab w:val="left" w:pos="2160"/>
                <w:tab w:val="left" w:pos="10206"/>
              </w:tabs>
              <w:ind w:right="-1"/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FB56FB">
              <w:rPr>
                <w:rFonts w:ascii="Garamond" w:hAnsi="Garamond"/>
                <w:color w:val="000000" w:themeColor="text1"/>
                <w:sz w:val="24"/>
                <w:szCs w:val="24"/>
              </w:rPr>
              <w:t>p. IL PRESIDENTE DEL CONSIGLIO</w:t>
            </w:r>
          </w:p>
          <w:p w:rsidR="00A27F5C" w:rsidRDefault="00A27F5C" w:rsidP="0095658C">
            <w:pPr>
              <w:tabs>
                <w:tab w:val="left" w:pos="2160"/>
                <w:tab w:val="left" w:pos="10206"/>
              </w:tabs>
              <w:ind w:right="-1"/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FB56FB">
              <w:rPr>
                <w:rFonts w:ascii="Garamond" w:hAnsi="Garamond"/>
                <w:color w:val="000000" w:themeColor="text1"/>
                <w:sz w:val="24"/>
                <w:szCs w:val="24"/>
              </w:rPr>
              <w:t>DEI MINISTRI</w:t>
            </w:r>
          </w:p>
          <w:p w:rsidR="006212D4" w:rsidRPr="00FB56FB" w:rsidRDefault="006212D4" w:rsidP="006212D4">
            <w:pPr>
              <w:tabs>
                <w:tab w:val="left" w:pos="2160"/>
                <w:tab w:val="left" w:pos="10206"/>
              </w:tabs>
              <w:ind w:right="-1"/>
              <w:contextualSpacing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   f.to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On.le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Giancarlo Giorgetti</w:t>
            </w:r>
          </w:p>
        </w:tc>
        <w:tc>
          <w:tcPr>
            <w:tcW w:w="5168" w:type="dxa"/>
          </w:tcPr>
          <w:p w:rsidR="00A27F5C" w:rsidRPr="00FB56FB" w:rsidRDefault="00A27F5C" w:rsidP="00A27F5C">
            <w:pPr>
              <w:tabs>
                <w:tab w:val="left" w:pos="2160"/>
                <w:tab w:val="left" w:pos="10206"/>
              </w:tabs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FB56FB">
              <w:rPr>
                <w:rFonts w:ascii="Garamond" w:hAnsi="Garamond"/>
                <w:color w:val="000000" w:themeColor="text1"/>
                <w:sz w:val="24"/>
                <w:szCs w:val="24"/>
              </w:rPr>
              <w:t>IL MINISTRO DELL’ECONOMIA E DELLE FINANZE</w:t>
            </w:r>
          </w:p>
          <w:p w:rsidR="00A27F5C" w:rsidRPr="00FB56FB" w:rsidRDefault="006212D4" w:rsidP="00A27F5C">
            <w:pPr>
              <w:tabs>
                <w:tab w:val="left" w:pos="2160"/>
                <w:tab w:val="left" w:pos="10206"/>
              </w:tabs>
              <w:ind w:right="-1"/>
              <w:contextualSpacing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f.to Prof. Giovanni Tria</w:t>
            </w:r>
          </w:p>
        </w:tc>
      </w:tr>
    </w:tbl>
    <w:p w:rsidR="00A27F5C" w:rsidRPr="00FB56FB" w:rsidRDefault="00A27F5C" w:rsidP="0095658C">
      <w:pPr>
        <w:tabs>
          <w:tab w:val="left" w:pos="2160"/>
          <w:tab w:val="left" w:pos="10206"/>
        </w:tabs>
        <w:spacing w:after="0" w:line="240" w:lineRule="auto"/>
        <w:ind w:right="-1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:rsidR="00A77711" w:rsidRDefault="00A77711" w:rsidP="005E6D41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A77711" w:rsidRDefault="00A77711" w:rsidP="005E6D41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C94940" w:rsidRPr="00FB56FB" w:rsidRDefault="00A77711" w:rsidP="005E6D41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Registrato alla Corte dei Conti il 5 novembre 2018 al n. 2025.</w:t>
      </w:r>
    </w:p>
    <w:sectPr w:rsidR="00C94940" w:rsidRPr="00FB56FB" w:rsidSect="00B65AA0">
      <w:headerReference w:type="default" r:id="rId8"/>
      <w:type w:val="continuous"/>
      <w:pgSz w:w="11906" w:h="16838"/>
      <w:pgMar w:top="1418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C0" w:rsidRDefault="004C7EC0" w:rsidP="00D165F4">
      <w:pPr>
        <w:spacing w:after="0" w:line="240" w:lineRule="auto"/>
      </w:pPr>
      <w:r>
        <w:separator/>
      </w:r>
    </w:p>
  </w:endnote>
  <w:endnote w:type="continuationSeparator" w:id="0">
    <w:p w:rsidR="004C7EC0" w:rsidRDefault="004C7EC0" w:rsidP="00D1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C0" w:rsidRDefault="004C7EC0" w:rsidP="00D165F4">
      <w:pPr>
        <w:spacing w:after="0" w:line="240" w:lineRule="auto"/>
      </w:pPr>
      <w:r>
        <w:separator/>
      </w:r>
    </w:p>
  </w:footnote>
  <w:footnote w:type="continuationSeparator" w:id="0">
    <w:p w:rsidR="004C7EC0" w:rsidRDefault="004C7EC0" w:rsidP="00D1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E5" w:rsidRDefault="00236DE5" w:rsidP="00544CE0">
    <w:pPr>
      <w:pStyle w:val="Intestazione"/>
    </w:pPr>
    <w:r>
      <w:rPr>
        <w:noProof/>
        <w:lang w:eastAsia="it-IT"/>
      </w:rPr>
      <w:drawing>
        <wp:inline distT="0" distB="0" distL="0" distR="0" wp14:anchorId="6534713A" wp14:editId="27E8AEFD">
          <wp:extent cx="6489700" cy="889000"/>
          <wp:effectExtent l="0" t="0" r="6350" b="6350"/>
          <wp:docPr id="1" name="Immagine 1" descr="intestazione-carta-dec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-carta-dec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DE5" w:rsidRDefault="00236DE5" w:rsidP="00544CE0">
    <w:pPr>
      <w:spacing w:after="0" w:line="240" w:lineRule="auto"/>
      <w:jc w:val="both"/>
      <w:rPr>
        <w:rFonts w:ascii="Garamond" w:hAnsi="Garamond"/>
        <w:i/>
        <w:sz w:val="25"/>
        <w:szCs w:val="25"/>
      </w:rPr>
    </w:pPr>
    <w:r w:rsidRPr="004D7A69">
      <w:rPr>
        <w:rFonts w:ascii="Kunstler Script" w:hAnsi="Kunstler Script"/>
        <w:sz w:val="96"/>
        <w:szCs w:val="96"/>
      </w:rPr>
      <w:t>Il Presidente del Consiglio dei Ministri</w:t>
    </w:r>
    <w:r>
      <w:rPr>
        <w:rFonts w:ascii="Garamond" w:hAnsi="Garamond"/>
        <w:i/>
        <w:sz w:val="25"/>
        <w:szCs w:val="25"/>
      </w:rPr>
      <w:t xml:space="preserve"> </w:t>
    </w:r>
  </w:p>
  <w:p w:rsidR="00236DE5" w:rsidRDefault="00236DE5" w:rsidP="00544CE0">
    <w:pPr>
      <w:pStyle w:val="Intestazione"/>
      <w:rPr>
        <w:rFonts w:ascii="Garamond" w:hAnsi="Garamond"/>
        <w:sz w:val="24"/>
        <w:szCs w:val="24"/>
      </w:rPr>
    </w:pPr>
  </w:p>
  <w:p w:rsidR="00236DE5" w:rsidRPr="006A0334" w:rsidRDefault="00236DE5" w:rsidP="00857D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B14D3"/>
    <w:multiLevelType w:val="hybridMultilevel"/>
    <w:tmpl w:val="354CFE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5AAC"/>
    <w:multiLevelType w:val="hybridMultilevel"/>
    <w:tmpl w:val="6B342B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2DEC"/>
    <w:multiLevelType w:val="hybridMultilevel"/>
    <w:tmpl w:val="6CE649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6F02"/>
    <w:multiLevelType w:val="hybridMultilevel"/>
    <w:tmpl w:val="6CE649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499B"/>
    <w:multiLevelType w:val="hybridMultilevel"/>
    <w:tmpl w:val="0658AB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F4"/>
    <w:rsid w:val="00002120"/>
    <w:rsid w:val="00013A0E"/>
    <w:rsid w:val="000277AF"/>
    <w:rsid w:val="00033A6A"/>
    <w:rsid w:val="00034A2B"/>
    <w:rsid w:val="00035432"/>
    <w:rsid w:val="00047201"/>
    <w:rsid w:val="00066077"/>
    <w:rsid w:val="00070E1A"/>
    <w:rsid w:val="0008071A"/>
    <w:rsid w:val="0008385F"/>
    <w:rsid w:val="00084589"/>
    <w:rsid w:val="00086E7F"/>
    <w:rsid w:val="000A498F"/>
    <w:rsid w:val="000C2E92"/>
    <w:rsid w:val="000C6C56"/>
    <w:rsid w:val="000D2A2D"/>
    <w:rsid w:val="000D4379"/>
    <w:rsid w:val="000E1C6E"/>
    <w:rsid w:val="000F281E"/>
    <w:rsid w:val="000F6F60"/>
    <w:rsid w:val="00103E38"/>
    <w:rsid w:val="00131DD0"/>
    <w:rsid w:val="00166F49"/>
    <w:rsid w:val="00180753"/>
    <w:rsid w:val="00181BE2"/>
    <w:rsid w:val="001872AC"/>
    <w:rsid w:val="00191C25"/>
    <w:rsid w:val="00194D2F"/>
    <w:rsid w:val="00197319"/>
    <w:rsid w:val="001A0B19"/>
    <w:rsid w:val="001B46C7"/>
    <w:rsid w:val="001D0428"/>
    <w:rsid w:val="001E20D9"/>
    <w:rsid w:val="001E34C9"/>
    <w:rsid w:val="001E6281"/>
    <w:rsid w:val="001F26A0"/>
    <w:rsid w:val="001F2D5A"/>
    <w:rsid w:val="00205A37"/>
    <w:rsid w:val="0021118D"/>
    <w:rsid w:val="002228F7"/>
    <w:rsid w:val="00236B94"/>
    <w:rsid w:val="00236DE5"/>
    <w:rsid w:val="00241C21"/>
    <w:rsid w:val="00242EDD"/>
    <w:rsid w:val="00257BC7"/>
    <w:rsid w:val="00263D45"/>
    <w:rsid w:val="002641D5"/>
    <w:rsid w:val="00273670"/>
    <w:rsid w:val="00274069"/>
    <w:rsid w:val="00293842"/>
    <w:rsid w:val="002A1AA6"/>
    <w:rsid w:val="002B0C4D"/>
    <w:rsid w:val="002B7C89"/>
    <w:rsid w:val="002D2A70"/>
    <w:rsid w:val="002D70D5"/>
    <w:rsid w:val="002E3EC4"/>
    <w:rsid w:val="003173BD"/>
    <w:rsid w:val="00321BDE"/>
    <w:rsid w:val="0033060F"/>
    <w:rsid w:val="00331D6F"/>
    <w:rsid w:val="003338D2"/>
    <w:rsid w:val="00342AE4"/>
    <w:rsid w:val="00352616"/>
    <w:rsid w:val="003652DD"/>
    <w:rsid w:val="003962DD"/>
    <w:rsid w:val="003968D7"/>
    <w:rsid w:val="003B16E9"/>
    <w:rsid w:val="003B31FC"/>
    <w:rsid w:val="003B5D60"/>
    <w:rsid w:val="003D1E95"/>
    <w:rsid w:val="003D50F0"/>
    <w:rsid w:val="003E55AB"/>
    <w:rsid w:val="003E699F"/>
    <w:rsid w:val="003F3F9C"/>
    <w:rsid w:val="003F4905"/>
    <w:rsid w:val="003F6BB0"/>
    <w:rsid w:val="00406F92"/>
    <w:rsid w:val="00412454"/>
    <w:rsid w:val="0041739E"/>
    <w:rsid w:val="00424E78"/>
    <w:rsid w:val="00440080"/>
    <w:rsid w:val="00446F6A"/>
    <w:rsid w:val="004508F0"/>
    <w:rsid w:val="00454896"/>
    <w:rsid w:val="00460A8E"/>
    <w:rsid w:val="004661CD"/>
    <w:rsid w:val="00471962"/>
    <w:rsid w:val="00477279"/>
    <w:rsid w:val="004811F0"/>
    <w:rsid w:val="00482DD5"/>
    <w:rsid w:val="00485615"/>
    <w:rsid w:val="00491B46"/>
    <w:rsid w:val="004A0779"/>
    <w:rsid w:val="004B4D14"/>
    <w:rsid w:val="004B639F"/>
    <w:rsid w:val="004B67B3"/>
    <w:rsid w:val="004C1937"/>
    <w:rsid w:val="004C1C6B"/>
    <w:rsid w:val="004C722D"/>
    <w:rsid w:val="004C7EC0"/>
    <w:rsid w:val="004E0081"/>
    <w:rsid w:val="004E18D2"/>
    <w:rsid w:val="004E2D44"/>
    <w:rsid w:val="004F72CC"/>
    <w:rsid w:val="00502EEB"/>
    <w:rsid w:val="005057D9"/>
    <w:rsid w:val="00520DF8"/>
    <w:rsid w:val="00535F63"/>
    <w:rsid w:val="00544CE0"/>
    <w:rsid w:val="0055184D"/>
    <w:rsid w:val="005606C4"/>
    <w:rsid w:val="0057781C"/>
    <w:rsid w:val="005877D0"/>
    <w:rsid w:val="00592C59"/>
    <w:rsid w:val="00597605"/>
    <w:rsid w:val="005A36A0"/>
    <w:rsid w:val="005C4A33"/>
    <w:rsid w:val="005D6403"/>
    <w:rsid w:val="005E6D41"/>
    <w:rsid w:val="005F2075"/>
    <w:rsid w:val="005F34AE"/>
    <w:rsid w:val="00601559"/>
    <w:rsid w:val="0060425F"/>
    <w:rsid w:val="006212D4"/>
    <w:rsid w:val="006313D6"/>
    <w:rsid w:val="00681C6E"/>
    <w:rsid w:val="006A0334"/>
    <w:rsid w:val="006B4D7C"/>
    <w:rsid w:val="006C5592"/>
    <w:rsid w:val="006C7FE2"/>
    <w:rsid w:val="006D2BA1"/>
    <w:rsid w:val="006D2BFD"/>
    <w:rsid w:val="006D2F9C"/>
    <w:rsid w:val="006D5138"/>
    <w:rsid w:val="006D55B1"/>
    <w:rsid w:val="006E218A"/>
    <w:rsid w:val="006E4BDC"/>
    <w:rsid w:val="006F6F06"/>
    <w:rsid w:val="00704889"/>
    <w:rsid w:val="0071131F"/>
    <w:rsid w:val="00732EAC"/>
    <w:rsid w:val="00735DDA"/>
    <w:rsid w:val="00743983"/>
    <w:rsid w:val="00743B8C"/>
    <w:rsid w:val="00744774"/>
    <w:rsid w:val="007658D2"/>
    <w:rsid w:val="00773144"/>
    <w:rsid w:val="00780CBD"/>
    <w:rsid w:val="007A1EAF"/>
    <w:rsid w:val="007C79FD"/>
    <w:rsid w:val="007E7227"/>
    <w:rsid w:val="007E7D0E"/>
    <w:rsid w:val="00805392"/>
    <w:rsid w:val="00831166"/>
    <w:rsid w:val="00856578"/>
    <w:rsid w:val="00857DBA"/>
    <w:rsid w:val="00866967"/>
    <w:rsid w:val="008714C2"/>
    <w:rsid w:val="008806C3"/>
    <w:rsid w:val="008821A7"/>
    <w:rsid w:val="00885C7C"/>
    <w:rsid w:val="00890312"/>
    <w:rsid w:val="008B0980"/>
    <w:rsid w:val="008B5420"/>
    <w:rsid w:val="008C1F92"/>
    <w:rsid w:val="008C5968"/>
    <w:rsid w:val="008D5035"/>
    <w:rsid w:val="008F0C09"/>
    <w:rsid w:val="00911C94"/>
    <w:rsid w:val="00944312"/>
    <w:rsid w:val="00945A01"/>
    <w:rsid w:val="00953E46"/>
    <w:rsid w:val="0095477B"/>
    <w:rsid w:val="0095658C"/>
    <w:rsid w:val="009702DA"/>
    <w:rsid w:val="00971894"/>
    <w:rsid w:val="0098208A"/>
    <w:rsid w:val="009A4035"/>
    <w:rsid w:val="009A4B21"/>
    <w:rsid w:val="009B0B56"/>
    <w:rsid w:val="009B0E24"/>
    <w:rsid w:val="009B7AFF"/>
    <w:rsid w:val="009F00FB"/>
    <w:rsid w:val="009F3239"/>
    <w:rsid w:val="00A054B0"/>
    <w:rsid w:val="00A11272"/>
    <w:rsid w:val="00A11740"/>
    <w:rsid w:val="00A15EF3"/>
    <w:rsid w:val="00A27F5C"/>
    <w:rsid w:val="00A30C96"/>
    <w:rsid w:val="00A35D6F"/>
    <w:rsid w:val="00A536F3"/>
    <w:rsid w:val="00A56736"/>
    <w:rsid w:val="00A65507"/>
    <w:rsid w:val="00A77711"/>
    <w:rsid w:val="00A95732"/>
    <w:rsid w:val="00AE3988"/>
    <w:rsid w:val="00AF5514"/>
    <w:rsid w:val="00B03704"/>
    <w:rsid w:val="00B051C7"/>
    <w:rsid w:val="00B0714C"/>
    <w:rsid w:val="00B1551D"/>
    <w:rsid w:val="00B2189E"/>
    <w:rsid w:val="00B24FA8"/>
    <w:rsid w:val="00B4595A"/>
    <w:rsid w:val="00B4627B"/>
    <w:rsid w:val="00B50E2D"/>
    <w:rsid w:val="00B523F6"/>
    <w:rsid w:val="00B65AA0"/>
    <w:rsid w:val="00B77933"/>
    <w:rsid w:val="00B77A6A"/>
    <w:rsid w:val="00B831AE"/>
    <w:rsid w:val="00B86107"/>
    <w:rsid w:val="00B8732D"/>
    <w:rsid w:val="00B94C69"/>
    <w:rsid w:val="00BA3343"/>
    <w:rsid w:val="00BA6C82"/>
    <w:rsid w:val="00BC67D7"/>
    <w:rsid w:val="00BC69FB"/>
    <w:rsid w:val="00BE5DC6"/>
    <w:rsid w:val="00BF4A6C"/>
    <w:rsid w:val="00C05A75"/>
    <w:rsid w:val="00C124C1"/>
    <w:rsid w:val="00C30A11"/>
    <w:rsid w:val="00C3417C"/>
    <w:rsid w:val="00C37479"/>
    <w:rsid w:val="00C4116C"/>
    <w:rsid w:val="00C44D62"/>
    <w:rsid w:val="00C75487"/>
    <w:rsid w:val="00C871F8"/>
    <w:rsid w:val="00C91E93"/>
    <w:rsid w:val="00C94940"/>
    <w:rsid w:val="00CA43A0"/>
    <w:rsid w:val="00CC32A8"/>
    <w:rsid w:val="00CD66FA"/>
    <w:rsid w:val="00CE1D01"/>
    <w:rsid w:val="00CE3188"/>
    <w:rsid w:val="00CE4181"/>
    <w:rsid w:val="00CE6070"/>
    <w:rsid w:val="00D165F4"/>
    <w:rsid w:val="00D37BA6"/>
    <w:rsid w:val="00D808BC"/>
    <w:rsid w:val="00D874D6"/>
    <w:rsid w:val="00D928F5"/>
    <w:rsid w:val="00DA5E3D"/>
    <w:rsid w:val="00DC3F27"/>
    <w:rsid w:val="00DD11FD"/>
    <w:rsid w:val="00DF076C"/>
    <w:rsid w:val="00E12ECC"/>
    <w:rsid w:val="00E2572A"/>
    <w:rsid w:val="00E33DEA"/>
    <w:rsid w:val="00E37182"/>
    <w:rsid w:val="00E478C0"/>
    <w:rsid w:val="00E55D2B"/>
    <w:rsid w:val="00E57A9A"/>
    <w:rsid w:val="00E61779"/>
    <w:rsid w:val="00E67383"/>
    <w:rsid w:val="00E72A5D"/>
    <w:rsid w:val="00E75523"/>
    <w:rsid w:val="00E85124"/>
    <w:rsid w:val="00E8514C"/>
    <w:rsid w:val="00ED6C8C"/>
    <w:rsid w:val="00EE0A6F"/>
    <w:rsid w:val="00EE4401"/>
    <w:rsid w:val="00EE4844"/>
    <w:rsid w:val="00EE7795"/>
    <w:rsid w:val="00EF0413"/>
    <w:rsid w:val="00EF0E0E"/>
    <w:rsid w:val="00F0294A"/>
    <w:rsid w:val="00F42E01"/>
    <w:rsid w:val="00F53D23"/>
    <w:rsid w:val="00F54AB5"/>
    <w:rsid w:val="00F56D60"/>
    <w:rsid w:val="00F73330"/>
    <w:rsid w:val="00F90516"/>
    <w:rsid w:val="00FB56FB"/>
    <w:rsid w:val="00FC3C5F"/>
    <w:rsid w:val="00FE59F4"/>
    <w:rsid w:val="00FE641D"/>
    <w:rsid w:val="00FE7498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3282-E2F6-479D-93BA-7FF8DB79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5F4"/>
  </w:style>
  <w:style w:type="paragraph" w:styleId="Pidipagina">
    <w:name w:val="footer"/>
    <w:basedOn w:val="Normale"/>
    <w:link w:val="PidipaginaCarattere"/>
    <w:uiPriority w:val="99"/>
    <w:unhideWhenUsed/>
    <w:rsid w:val="00D16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5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3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2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874D6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4F7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8D77-748D-484F-B00C-09DE3D77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Orso</dc:creator>
  <cp:lastModifiedBy>Rosita Perri</cp:lastModifiedBy>
  <cp:revision>6</cp:revision>
  <cp:lastPrinted>2018-09-25T16:19:00Z</cp:lastPrinted>
  <dcterms:created xsi:type="dcterms:W3CDTF">2018-10-04T11:32:00Z</dcterms:created>
  <dcterms:modified xsi:type="dcterms:W3CDTF">2018-11-15T09:08:00Z</dcterms:modified>
</cp:coreProperties>
</file>